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94607C4" w14:textId="21323AC7" w:rsidR="0008507F" w:rsidRDefault="000A756C" w:rsidP="00FD3DEC">
      <w:pPr>
        <w:spacing w:line="360" w:lineRule="auto"/>
        <w:jc w:val="center"/>
        <w:rPr>
          <w:rFonts w:ascii="Arial" w:hAnsi="Arial" w:cs="Arial"/>
          <w:b/>
          <w:bCs/>
          <w:lang w:val="es-ES"/>
        </w:rPr>
      </w:pPr>
      <w:r w:rsidRPr="000A756C">
        <w:rPr>
          <w:rFonts w:ascii="Arial" w:hAnsi="Arial" w:cs="Arial"/>
          <w:b/>
          <w:bCs/>
          <w:lang w:val="es-ES"/>
        </w:rPr>
        <w:t>Momentos históricos del IACIP</w:t>
      </w:r>
    </w:p>
    <w:p w14:paraId="6790EB7E" w14:textId="573695E0" w:rsidR="00FD3DEC" w:rsidRPr="00FD3DEC" w:rsidRDefault="00FD3DEC" w:rsidP="00FD3DEC">
      <w:pPr>
        <w:spacing w:line="360" w:lineRule="auto"/>
        <w:jc w:val="both"/>
        <w:rPr>
          <w:rFonts w:ascii="Arial" w:hAnsi="Arial" w:cs="Arial"/>
          <w:sz w:val="20"/>
          <w:szCs w:val="20"/>
          <w:lang w:val="pt-PT"/>
        </w:rPr>
      </w:pPr>
      <w:r w:rsidRPr="00FD3DEC">
        <w:rPr>
          <w:rFonts w:ascii="Arial" w:hAnsi="Arial" w:cs="Arial"/>
          <w:sz w:val="20"/>
          <w:szCs w:val="20"/>
          <w:lang w:val="es-ES"/>
        </w:rPr>
        <w:t>Autora:</w:t>
      </w:r>
      <w:r w:rsidRPr="00FD3DEC">
        <w:rPr>
          <w:rFonts w:ascii="Arial" w:hAnsi="Arial" w:cs="Arial"/>
          <w:color w:val="222222"/>
          <w:sz w:val="20"/>
          <w:szCs w:val="20"/>
          <w:shd w:val="clear" w:color="auto" w:fill="FFFFFF"/>
        </w:rPr>
        <w:t xml:space="preserve"> </w:t>
      </w:r>
      <w:r w:rsidRPr="00FD3DEC">
        <w:rPr>
          <w:rFonts w:ascii="Arial" w:hAnsi="Arial" w:cs="Arial"/>
          <w:sz w:val="20"/>
          <w:szCs w:val="20"/>
        </w:rPr>
        <w:t>Marlet Cortés de León</w:t>
      </w:r>
    </w:p>
    <w:p w14:paraId="03C39AE7" w14:textId="021A46FF" w:rsidR="00446C13" w:rsidRPr="002C09B3" w:rsidRDefault="00D952E3" w:rsidP="00FD3DEC">
      <w:pPr>
        <w:spacing w:line="360" w:lineRule="auto"/>
        <w:jc w:val="both"/>
        <w:rPr>
          <w:rFonts w:ascii="Arial" w:hAnsi="Arial" w:cs="Arial"/>
          <w:lang w:val="es-ES"/>
        </w:rPr>
      </w:pPr>
      <w:r w:rsidRPr="002C09B3">
        <w:rPr>
          <w:rFonts w:ascii="Arial" w:hAnsi="Arial" w:cs="Arial"/>
          <w:lang w:val="es-ES"/>
        </w:rPr>
        <w:t xml:space="preserve">El Instituto de Acceso a la Información Publica para el Estado de Guanajuato nace </w:t>
      </w:r>
      <w:r w:rsidR="007B72AE" w:rsidRPr="002C09B3">
        <w:rPr>
          <w:rFonts w:ascii="Arial" w:hAnsi="Arial" w:cs="Arial"/>
          <w:lang w:val="es-ES"/>
        </w:rPr>
        <w:t>en el año 2003, entrando en función el 07 de enero del 2004 tras la aprobación de la Ley de Acceso a la Información Pública con el objetivo de vigilar el cumplimiento de esta misma y garantizar a la sociedad guanajuatense su derecho a saber.</w:t>
      </w:r>
    </w:p>
    <w:p w14:paraId="2AB9966E" w14:textId="501ECD56" w:rsidR="00B32955" w:rsidRPr="002C09B3" w:rsidRDefault="00B32955" w:rsidP="00FD3DEC">
      <w:pPr>
        <w:spacing w:line="360" w:lineRule="auto"/>
        <w:jc w:val="both"/>
        <w:rPr>
          <w:rFonts w:ascii="Arial" w:hAnsi="Arial" w:cs="Arial"/>
        </w:rPr>
      </w:pPr>
      <w:r w:rsidRPr="002C09B3">
        <w:rPr>
          <w:rFonts w:ascii="Arial" w:hAnsi="Arial" w:cs="Arial"/>
        </w:rPr>
        <w:t>Fue el primer organismo de transparencia estatal que desarrolló un sistema informático para facilitar a la sociedad el ejercicio de solicitud de información pública y firmó convenios para su uso y aprovechamiento con 37 UAIP.</w:t>
      </w:r>
    </w:p>
    <w:p w14:paraId="2FF6D117" w14:textId="608EF7D0" w:rsidR="00B32955" w:rsidRPr="002C09B3" w:rsidRDefault="00521893" w:rsidP="00FD3DEC">
      <w:pPr>
        <w:spacing w:line="360" w:lineRule="auto"/>
        <w:jc w:val="both"/>
        <w:rPr>
          <w:rFonts w:ascii="Arial" w:hAnsi="Arial" w:cs="Arial"/>
        </w:rPr>
      </w:pPr>
      <w:r w:rsidRPr="002C09B3">
        <w:rPr>
          <w:rFonts w:ascii="Arial" w:hAnsi="Arial" w:cs="Arial"/>
        </w:rPr>
        <w:t xml:space="preserve">Participo </w:t>
      </w:r>
      <w:r w:rsidR="00B32955" w:rsidRPr="002C09B3">
        <w:rPr>
          <w:rFonts w:ascii="Arial" w:hAnsi="Arial" w:cs="Arial"/>
        </w:rPr>
        <w:t xml:space="preserve">en la Subcomisión Jurídica de la Conferencia Mexicana de Acceso a la Información (COMAIP). </w:t>
      </w:r>
      <w:r w:rsidRPr="002C09B3">
        <w:rPr>
          <w:rFonts w:ascii="Arial" w:hAnsi="Arial" w:cs="Arial"/>
        </w:rPr>
        <w:t>Además,</w:t>
      </w:r>
      <w:r w:rsidR="00B32955" w:rsidRPr="002C09B3">
        <w:rPr>
          <w:rFonts w:ascii="Arial" w:hAnsi="Arial" w:cs="Arial"/>
        </w:rPr>
        <w:t xml:space="preserve"> </w:t>
      </w:r>
      <w:r w:rsidRPr="002C09B3">
        <w:rPr>
          <w:rFonts w:ascii="Arial" w:hAnsi="Arial" w:cs="Arial"/>
        </w:rPr>
        <w:t xml:space="preserve">realizo eventos </w:t>
      </w:r>
      <w:r w:rsidR="00B32955" w:rsidRPr="002C09B3">
        <w:rPr>
          <w:rFonts w:ascii="Arial" w:hAnsi="Arial" w:cs="Arial"/>
        </w:rPr>
        <w:t xml:space="preserve">con ponentes de talla internacional </w:t>
      </w:r>
      <w:r w:rsidRPr="002C09B3">
        <w:rPr>
          <w:rFonts w:ascii="Arial" w:hAnsi="Arial" w:cs="Arial"/>
        </w:rPr>
        <w:t xml:space="preserve">en donde se expuso </w:t>
      </w:r>
      <w:r w:rsidR="00B32955" w:rsidRPr="002C09B3">
        <w:rPr>
          <w:rFonts w:ascii="Arial" w:hAnsi="Arial" w:cs="Arial"/>
        </w:rPr>
        <w:t>la importancia del acceso a la información, de la garantía de la protección de datos personales</w:t>
      </w:r>
      <w:r w:rsidRPr="002C09B3">
        <w:rPr>
          <w:rFonts w:ascii="Arial" w:hAnsi="Arial" w:cs="Arial"/>
        </w:rPr>
        <w:t>,</w:t>
      </w:r>
      <w:r w:rsidR="00B32955" w:rsidRPr="002C09B3">
        <w:rPr>
          <w:rFonts w:ascii="Arial" w:hAnsi="Arial" w:cs="Arial"/>
        </w:rPr>
        <w:t xml:space="preserve"> y de la normatividad sobre uso y manejo de archivos públicos.</w:t>
      </w:r>
    </w:p>
    <w:p w14:paraId="03DF6135" w14:textId="77777777" w:rsidR="00521893" w:rsidRPr="002C09B3" w:rsidRDefault="00521893" w:rsidP="00FD3DEC">
      <w:pPr>
        <w:spacing w:line="360" w:lineRule="auto"/>
        <w:jc w:val="both"/>
        <w:rPr>
          <w:rFonts w:ascii="Arial" w:hAnsi="Arial" w:cs="Arial"/>
        </w:rPr>
      </w:pPr>
      <w:r w:rsidRPr="002C09B3">
        <w:rPr>
          <w:rFonts w:ascii="Arial" w:hAnsi="Arial" w:cs="Arial"/>
        </w:rPr>
        <w:t xml:space="preserve">En mayo del 2006, el Instituto es señalado por la Ley de Protección de Datos Personales para el Estado y los Municipios de Guanajuato (LPDPEMG), como el Organismo encargado de garantizar la protección los datos personales de los particulares en Guanajuato. Con esta nueva disposición se tiene la facultad resolver los Recursos de Queja interpuestos por los particulares, dictar los lineamientos de la Ley, crear el Registro Estatal de Protección de Datos Personales en el Estado, ahora conocido como Sistema Guanajuato REPDP, capacitar a los servidores públicos en materia de protección de datos personales y difundir en la sociedad el conocimiento sobre su derecho a la protección de sus datos sensibles. </w:t>
      </w:r>
    </w:p>
    <w:p w14:paraId="7094BA40" w14:textId="64181845" w:rsidR="00521893" w:rsidRPr="002C09B3" w:rsidRDefault="00521893" w:rsidP="00FD3DEC">
      <w:pPr>
        <w:spacing w:line="360" w:lineRule="auto"/>
        <w:jc w:val="both"/>
        <w:rPr>
          <w:rFonts w:ascii="Arial" w:hAnsi="Arial" w:cs="Arial"/>
        </w:rPr>
      </w:pPr>
      <w:r w:rsidRPr="002C09B3">
        <w:rPr>
          <w:rFonts w:ascii="Arial" w:hAnsi="Arial" w:cs="Arial"/>
        </w:rPr>
        <w:t xml:space="preserve">El 31 de mayo del 2007 con la aprobación de la Ley de Archivos Generales para el Estado y los Municipios de Guanajuato, nuestro Estado cumple con la resolución de la Asamblea General de la OEA sobre el Proyecto de Acceso a la Información Pública: Fortalecimiento de la Democracia al contar con un paquete de leyes que contribuyen a reafirmar el derecho al libre acceso a la información pública, ya que </w:t>
      </w:r>
      <w:r w:rsidRPr="002C09B3">
        <w:rPr>
          <w:rFonts w:ascii="Arial" w:hAnsi="Arial" w:cs="Arial"/>
        </w:rPr>
        <w:lastRenderedPageBreak/>
        <w:t>se suma la Ley de Archivos Generales para el Estado y los Municipios de Guanajuato refiriéndose a una disposición legal que asegura la disponibilidad de la información.</w:t>
      </w:r>
    </w:p>
    <w:p w14:paraId="3EDAC694" w14:textId="3DF0E705" w:rsidR="00446C13" w:rsidRPr="002C09B3" w:rsidRDefault="00446C13" w:rsidP="00FD3DEC">
      <w:pPr>
        <w:spacing w:line="360" w:lineRule="auto"/>
        <w:jc w:val="both"/>
        <w:rPr>
          <w:rFonts w:ascii="Arial" w:hAnsi="Arial" w:cs="Arial"/>
        </w:rPr>
      </w:pPr>
      <w:r w:rsidRPr="002C09B3">
        <w:rPr>
          <w:rFonts w:ascii="Arial" w:hAnsi="Arial" w:cs="Arial"/>
        </w:rPr>
        <w:t xml:space="preserve">En sus </w:t>
      </w:r>
      <w:r w:rsidR="008C6622">
        <w:rPr>
          <w:rFonts w:ascii="Arial" w:hAnsi="Arial" w:cs="Arial"/>
        </w:rPr>
        <w:t>objetivos</w:t>
      </w:r>
      <w:r w:rsidRPr="002C09B3">
        <w:rPr>
          <w:rFonts w:ascii="Arial" w:hAnsi="Arial" w:cs="Arial"/>
        </w:rPr>
        <w:t xml:space="preserve"> busca: </w:t>
      </w:r>
    </w:p>
    <w:p w14:paraId="0F35356A" w14:textId="5D69C618" w:rsidR="00446C13" w:rsidRPr="00446C13" w:rsidRDefault="00446C13" w:rsidP="00FD3DEC">
      <w:pPr>
        <w:numPr>
          <w:ilvl w:val="0"/>
          <w:numId w:val="2"/>
        </w:numPr>
        <w:spacing w:line="360" w:lineRule="auto"/>
        <w:jc w:val="both"/>
        <w:rPr>
          <w:rFonts w:ascii="Arial" w:hAnsi="Arial" w:cs="Arial"/>
        </w:rPr>
      </w:pPr>
      <w:r w:rsidRPr="00446C13">
        <w:rPr>
          <w:rFonts w:ascii="Arial" w:hAnsi="Arial" w:cs="Arial"/>
        </w:rPr>
        <w:t>Promover en la sociedad el conocimiento, uso y aprovechamiento de la información pública, así como la capacitación y actualización de los servidores públicos en la cultura de acceso a la información pública y protección de datos personales, a través de cursos, seminarios, talleres y cualquier otra forma de enseñanza y entrenamiento que se considere pertinente</w:t>
      </w:r>
      <w:r w:rsidRPr="002C09B3">
        <w:rPr>
          <w:rFonts w:ascii="Arial" w:hAnsi="Arial" w:cs="Arial"/>
        </w:rPr>
        <w:t>.</w:t>
      </w:r>
    </w:p>
    <w:p w14:paraId="074EE513" w14:textId="66BE58E6" w:rsidR="00446C13" w:rsidRPr="00446C13" w:rsidRDefault="00446C13" w:rsidP="00FD3DEC">
      <w:pPr>
        <w:numPr>
          <w:ilvl w:val="0"/>
          <w:numId w:val="2"/>
        </w:numPr>
        <w:spacing w:line="360" w:lineRule="auto"/>
        <w:jc w:val="both"/>
        <w:rPr>
          <w:rFonts w:ascii="Arial" w:hAnsi="Arial" w:cs="Arial"/>
        </w:rPr>
      </w:pPr>
      <w:r w:rsidRPr="00446C13">
        <w:rPr>
          <w:rFonts w:ascii="Arial" w:hAnsi="Arial" w:cs="Arial"/>
        </w:rPr>
        <w:t>Garantizar la protección de los datos personales, en los términos de la ley en la materia</w:t>
      </w:r>
      <w:r w:rsidRPr="002C09B3">
        <w:rPr>
          <w:rFonts w:ascii="Arial" w:hAnsi="Arial" w:cs="Arial"/>
        </w:rPr>
        <w:t>.</w:t>
      </w:r>
    </w:p>
    <w:p w14:paraId="78B6BAE7" w14:textId="6567EFE4" w:rsidR="00446C13" w:rsidRPr="00446C13" w:rsidRDefault="00446C13" w:rsidP="00FD3DEC">
      <w:pPr>
        <w:numPr>
          <w:ilvl w:val="0"/>
          <w:numId w:val="2"/>
        </w:numPr>
        <w:spacing w:line="360" w:lineRule="auto"/>
        <w:jc w:val="both"/>
        <w:rPr>
          <w:rFonts w:ascii="Arial" w:hAnsi="Arial" w:cs="Arial"/>
        </w:rPr>
      </w:pPr>
      <w:r w:rsidRPr="00446C13">
        <w:rPr>
          <w:rFonts w:ascii="Arial" w:hAnsi="Arial" w:cs="Arial"/>
        </w:rPr>
        <w:t>Recibir fondos de organismos nacionales e internacionales para el mejor cumplimiento de sus atribuciones</w:t>
      </w:r>
      <w:r w:rsidRPr="002C09B3">
        <w:rPr>
          <w:rFonts w:ascii="Arial" w:hAnsi="Arial" w:cs="Arial"/>
        </w:rPr>
        <w:t>.</w:t>
      </w:r>
    </w:p>
    <w:p w14:paraId="152D282E" w14:textId="5F6AF33D" w:rsidR="00446C13" w:rsidRPr="00446C13" w:rsidRDefault="00446C13" w:rsidP="00FD3DEC">
      <w:pPr>
        <w:numPr>
          <w:ilvl w:val="0"/>
          <w:numId w:val="2"/>
        </w:numPr>
        <w:spacing w:line="360" w:lineRule="auto"/>
        <w:jc w:val="both"/>
        <w:rPr>
          <w:rFonts w:ascii="Arial" w:hAnsi="Arial" w:cs="Arial"/>
        </w:rPr>
      </w:pPr>
      <w:r w:rsidRPr="00446C13">
        <w:rPr>
          <w:rFonts w:ascii="Arial" w:hAnsi="Arial" w:cs="Arial"/>
        </w:rPr>
        <w:t>Proponer a las autoridades educativas competentes la inclusión en los programas de estudio de contenidos que versen sobre la importancia social del derecho de acceso a la información pública</w:t>
      </w:r>
      <w:r w:rsidRPr="002C09B3">
        <w:rPr>
          <w:rFonts w:ascii="Arial" w:hAnsi="Arial" w:cs="Arial"/>
        </w:rPr>
        <w:t>.</w:t>
      </w:r>
    </w:p>
    <w:p w14:paraId="006B34B9" w14:textId="040472F9" w:rsidR="00446C13" w:rsidRPr="00446C13" w:rsidRDefault="00446C13" w:rsidP="00FD3DEC">
      <w:pPr>
        <w:numPr>
          <w:ilvl w:val="0"/>
          <w:numId w:val="2"/>
        </w:numPr>
        <w:spacing w:line="360" w:lineRule="auto"/>
        <w:jc w:val="both"/>
        <w:rPr>
          <w:rFonts w:ascii="Arial" w:hAnsi="Arial" w:cs="Arial"/>
        </w:rPr>
      </w:pPr>
      <w:r w:rsidRPr="00446C13">
        <w:rPr>
          <w:rFonts w:ascii="Arial" w:hAnsi="Arial" w:cs="Arial"/>
        </w:rPr>
        <w:t xml:space="preserve">Impulsar, </w:t>
      </w:r>
      <w:r w:rsidRPr="002C09B3">
        <w:rPr>
          <w:rFonts w:ascii="Arial" w:hAnsi="Arial" w:cs="Arial"/>
        </w:rPr>
        <w:t>juntamente con</w:t>
      </w:r>
      <w:r w:rsidRPr="00446C13">
        <w:rPr>
          <w:rFonts w:ascii="Arial" w:hAnsi="Arial" w:cs="Arial"/>
        </w:rPr>
        <w:t xml:space="preserve"> instituciones de educación superior, la investigación, difusión y docencia sobre el derecho de acceso a la información pública que promueva la sociabilización de conocimientos sobre el tema</w:t>
      </w:r>
      <w:r w:rsidRPr="002C09B3">
        <w:rPr>
          <w:rFonts w:ascii="Arial" w:hAnsi="Arial" w:cs="Arial"/>
        </w:rPr>
        <w:t>.</w:t>
      </w:r>
    </w:p>
    <w:p w14:paraId="78B4B96E" w14:textId="1906A0A6" w:rsidR="00446C13" w:rsidRPr="00446C13" w:rsidRDefault="00446C13" w:rsidP="00FD3DEC">
      <w:pPr>
        <w:numPr>
          <w:ilvl w:val="0"/>
          <w:numId w:val="2"/>
        </w:numPr>
        <w:spacing w:line="360" w:lineRule="auto"/>
        <w:jc w:val="both"/>
        <w:rPr>
          <w:rFonts w:ascii="Arial" w:hAnsi="Arial" w:cs="Arial"/>
        </w:rPr>
      </w:pPr>
      <w:r w:rsidRPr="00446C13">
        <w:rPr>
          <w:rFonts w:ascii="Arial" w:hAnsi="Arial" w:cs="Arial"/>
        </w:rPr>
        <w:t>Mantener una colaboración y coordinación con los sujetos obligados, a fin de lograr el cumplimiento de la Ley de Transparencia y Acceso a la Información Pública para el Estado de Guanajuato</w:t>
      </w:r>
      <w:r w:rsidRPr="002C09B3">
        <w:rPr>
          <w:rFonts w:ascii="Arial" w:hAnsi="Arial" w:cs="Arial"/>
        </w:rPr>
        <w:t>.</w:t>
      </w:r>
    </w:p>
    <w:p w14:paraId="483AB150" w14:textId="77D6DBBA" w:rsidR="00446C13" w:rsidRPr="00446C13" w:rsidRDefault="00446C13" w:rsidP="00FD3DEC">
      <w:pPr>
        <w:numPr>
          <w:ilvl w:val="0"/>
          <w:numId w:val="2"/>
        </w:numPr>
        <w:spacing w:line="360" w:lineRule="auto"/>
        <w:jc w:val="both"/>
        <w:rPr>
          <w:rFonts w:ascii="Arial" w:hAnsi="Arial" w:cs="Arial"/>
        </w:rPr>
      </w:pPr>
      <w:r w:rsidRPr="00446C13">
        <w:rPr>
          <w:rFonts w:ascii="Arial" w:hAnsi="Arial" w:cs="Arial"/>
        </w:rPr>
        <w:t>Orientar y auxiliar a las personas para ejercer los derechos de acceso a la información y de protección de datos personales</w:t>
      </w:r>
      <w:r w:rsidRPr="002C09B3">
        <w:rPr>
          <w:rFonts w:ascii="Arial" w:hAnsi="Arial" w:cs="Arial"/>
        </w:rPr>
        <w:t>.</w:t>
      </w:r>
    </w:p>
    <w:p w14:paraId="4CC3E411" w14:textId="77777777" w:rsidR="002C09B3" w:rsidRDefault="002C09B3" w:rsidP="00FD3DEC">
      <w:pPr>
        <w:spacing w:line="360" w:lineRule="auto"/>
        <w:ind w:left="720"/>
        <w:jc w:val="both"/>
        <w:rPr>
          <w:rFonts w:ascii="Arial" w:hAnsi="Arial" w:cs="Arial"/>
        </w:rPr>
      </w:pPr>
      <w:r w:rsidRPr="002C09B3">
        <w:rPr>
          <w:rFonts w:ascii="Arial" w:hAnsi="Arial" w:cs="Arial"/>
        </w:rPr>
        <w:lastRenderedPageBreak/>
        <w:t xml:space="preserve">El IACIP promueve el conocimiento, uso y aprovechamiento de la información pública. Para ello se ha apoyado en los medios de comunicación al realizar continuas conferencias de prensa, publicar artículos en medios escritos e informar a través de entrevistas de radio y televisión. Se han mantenido reuniones con la Comisión Estatal para la Planeación de la Educación Superior, COEPES; y con la Secretaría de Educación del Estado (SEG), con el propósito de afinar los mecanismos para la inclusión del tema de acceso a la información en los programas educativos de nivel básico, medio superior y superior en la entidad. </w:t>
      </w:r>
    </w:p>
    <w:p w14:paraId="0EFC8C17" w14:textId="4EC73EE0" w:rsidR="002C09B3" w:rsidRDefault="002C09B3" w:rsidP="00FD3DEC">
      <w:pPr>
        <w:spacing w:line="360" w:lineRule="auto"/>
        <w:ind w:left="720"/>
        <w:jc w:val="both"/>
        <w:rPr>
          <w:rFonts w:ascii="Arial" w:hAnsi="Arial" w:cs="Arial"/>
        </w:rPr>
      </w:pPr>
      <w:r w:rsidRPr="002C09B3">
        <w:rPr>
          <w:rFonts w:ascii="Arial" w:hAnsi="Arial" w:cs="Arial"/>
        </w:rPr>
        <w:t>Actualmente, el IACIP forma parte de dos importantes organismos: la Asociación Mexicana de Comisiones Estatales para el Acceso a la Información Pública, A.C., y la Conferencia Mexicana para el Acceso a la Información Pública (COMAIP). De esta forma, en cumplimiento a los compromisos suscritos dentro del Núcleo de Buen Gobierno, Guanajuato se convierte en actor en materia de acceso a la información a nivel nacional, comprometiéndose a impulsar las leyes de transparencia de las entidades federativas, y con la difusión de materiales y programas que acerquen a la sociedad el conocimiento de la cultura de transparencia y acceso a la información</w:t>
      </w:r>
      <w:r>
        <w:rPr>
          <w:rFonts w:ascii="Arial" w:hAnsi="Arial" w:cs="Arial"/>
        </w:rPr>
        <w:t>.</w:t>
      </w:r>
    </w:p>
    <w:p w14:paraId="38AC6B7B" w14:textId="60D3CD94" w:rsidR="002C09B3" w:rsidRDefault="002C09B3" w:rsidP="00FD3DEC">
      <w:pPr>
        <w:spacing w:line="360" w:lineRule="auto"/>
        <w:ind w:left="720"/>
        <w:jc w:val="both"/>
        <w:rPr>
          <w:rFonts w:ascii="Arial" w:hAnsi="Arial" w:cs="Arial"/>
        </w:rPr>
      </w:pPr>
      <w:r>
        <w:rPr>
          <w:rFonts w:ascii="Arial" w:hAnsi="Arial" w:cs="Arial"/>
        </w:rPr>
        <w:t xml:space="preserve">En un articulo de la Silla Rota de Guanajuato en referencia del </w:t>
      </w:r>
      <w:r w:rsidR="00C30DAA">
        <w:rPr>
          <w:rFonts w:ascii="Arial" w:hAnsi="Arial" w:cs="Arial"/>
        </w:rPr>
        <w:t>veintiún</w:t>
      </w:r>
      <w:r>
        <w:rPr>
          <w:rFonts w:ascii="Arial" w:hAnsi="Arial" w:cs="Arial"/>
        </w:rPr>
        <w:t xml:space="preserve"> aniversario de la IACIP </w:t>
      </w:r>
      <w:r w:rsidR="006B3432">
        <w:rPr>
          <w:rFonts w:ascii="Arial" w:hAnsi="Arial" w:cs="Arial"/>
        </w:rPr>
        <w:t>mencionaron el</w:t>
      </w:r>
      <w:r>
        <w:rPr>
          <w:rFonts w:ascii="Arial" w:hAnsi="Arial" w:cs="Arial"/>
        </w:rPr>
        <w:t xml:space="preserve"> impacto que se genero en el presente año</w:t>
      </w:r>
      <w:r w:rsidR="006B3432">
        <w:rPr>
          <w:rFonts w:ascii="Arial" w:hAnsi="Arial" w:cs="Arial"/>
        </w:rPr>
        <w:t xml:space="preserve"> 2024</w:t>
      </w:r>
      <w:r w:rsidR="00C30DAA">
        <w:rPr>
          <w:rFonts w:ascii="Arial" w:hAnsi="Arial" w:cs="Arial"/>
        </w:rPr>
        <w:t xml:space="preserve">: </w:t>
      </w:r>
    </w:p>
    <w:p w14:paraId="390BB72C" w14:textId="7AE0976D" w:rsidR="002C09B3" w:rsidRPr="008C6622" w:rsidRDefault="00C30DAA" w:rsidP="00FD3DEC">
      <w:pPr>
        <w:spacing w:line="360" w:lineRule="auto"/>
        <w:ind w:left="720"/>
        <w:jc w:val="both"/>
        <w:rPr>
          <w:rFonts w:ascii="Arial" w:hAnsi="Arial" w:cs="Arial"/>
        </w:rPr>
      </w:pPr>
      <w:r w:rsidRPr="008C6622">
        <w:rPr>
          <w:rFonts w:ascii="Arial" w:hAnsi="Arial" w:cs="Arial"/>
        </w:rPr>
        <w:t>“</w:t>
      </w:r>
      <w:r w:rsidR="002C09B3" w:rsidRPr="008C6622">
        <w:rPr>
          <w:rFonts w:ascii="Arial" w:hAnsi="Arial" w:cs="Arial"/>
        </w:rPr>
        <w:t xml:space="preserve">Mariela Huerta Guerrero, comisionada presidenta del Instituto de Acceso a la Información Pública (IACIP) para el estado de Guanajuato, rindió el 21 Informe de Actividades del IACIP 2023-2024, en el que destacó que se llegó a la cifra histórica del 99.3 </w:t>
      </w:r>
      <w:r w:rsidRPr="008C6622">
        <w:rPr>
          <w:rFonts w:ascii="Arial" w:hAnsi="Arial" w:cs="Arial"/>
        </w:rPr>
        <w:t xml:space="preserve">% </w:t>
      </w:r>
      <w:r w:rsidR="002C09B3" w:rsidRPr="008C6622">
        <w:rPr>
          <w:rFonts w:ascii="Arial" w:hAnsi="Arial" w:cs="Arial"/>
        </w:rPr>
        <w:t>de entrega de información a la población.</w:t>
      </w:r>
    </w:p>
    <w:p w14:paraId="6AB1D05C" w14:textId="0C32EE12" w:rsidR="002C09B3" w:rsidRPr="002C09B3" w:rsidRDefault="002C09B3" w:rsidP="00FD3DEC">
      <w:pPr>
        <w:spacing w:line="360" w:lineRule="auto"/>
        <w:ind w:left="720"/>
        <w:jc w:val="both"/>
        <w:rPr>
          <w:rFonts w:ascii="Arial" w:hAnsi="Arial" w:cs="Arial"/>
        </w:rPr>
      </w:pPr>
      <w:r w:rsidRPr="008C6622">
        <w:rPr>
          <w:rFonts w:ascii="Arial" w:hAnsi="Arial" w:cs="Arial"/>
        </w:rPr>
        <w:t>Señaló en materia de Gobierno Abierto</w:t>
      </w:r>
      <w:r w:rsidR="00C30DAA" w:rsidRPr="008C6622">
        <w:rPr>
          <w:rFonts w:ascii="Arial" w:hAnsi="Arial" w:cs="Arial"/>
        </w:rPr>
        <w:t xml:space="preserve"> que </w:t>
      </w:r>
      <w:r w:rsidRPr="008C6622">
        <w:rPr>
          <w:rFonts w:ascii="Arial" w:hAnsi="Arial" w:cs="Arial"/>
        </w:rPr>
        <w:t xml:space="preserve">el estado de Guanajuato también es la entidad con mayor cumplimiento en la carga de información pública de </w:t>
      </w:r>
      <w:r w:rsidRPr="008C6622">
        <w:rPr>
          <w:rFonts w:ascii="Arial" w:hAnsi="Arial" w:cs="Arial"/>
        </w:rPr>
        <w:lastRenderedPageBreak/>
        <w:t>oficio en la Plataforma Nacional de Transparencia (PNT), alcanzando una puntuación del 93</w:t>
      </w:r>
      <w:r w:rsidR="00C30DAA" w:rsidRPr="008C6622">
        <w:rPr>
          <w:rFonts w:ascii="Arial" w:hAnsi="Arial" w:cs="Arial"/>
        </w:rPr>
        <w:t>%</w:t>
      </w:r>
      <w:r w:rsidRPr="008C6622">
        <w:rPr>
          <w:rFonts w:ascii="Arial" w:hAnsi="Arial" w:cs="Arial"/>
        </w:rPr>
        <w:t>, por encima de la media nacional del 68</w:t>
      </w:r>
      <w:r w:rsidR="008C6622" w:rsidRPr="008C6622">
        <w:rPr>
          <w:rFonts w:ascii="Arial" w:hAnsi="Arial" w:cs="Arial"/>
        </w:rPr>
        <w:t>%.</w:t>
      </w:r>
      <w:r w:rsidR="008C6622" w:rsidRPr="002C09B3">
        <w:rPr>
          <w:rFonts w:ascii="Arial" w:hAnsi="Arial" w:cs="Arial"/>
        </w:rPr>
        <w:t xml:space="preserve"> Se</w:t>
      </w:r>
      <w:r w:rsidRPr="002C09B3">
        <w:rPr>
          <w:rFonts w:ascii="Arial" w:hAnsi="Arial" w:cs="Arial"/>
        </w:rPr>
        <w:t xml:space="preserve"> capacitó a 12,606 servidores públicos en 230 eventos, llegando a más de 89,000 funcionarios públicos desde el 2023. También se instaló la Red de Academia Abierta 2024-2026, con la participación de 36 universidades públicas y privadas de todo el estado.</w:t>
      </w:r>
    </w:p>
    <w:p w14:paraId="42935BB9" w14:textId="77777777" w:rsidR="002C09B3" w:rsidRPr="002C09B3" w:rsidRDefault="002C09B3" w:rsidP="00FD3DEC">
      <w:pPr>
        <w:spacing w:line="360" w:lineRule="auto"/>
        <w:ind w:left="720"/>
        <w:jc w:val="both"/>
        <w:rPr>
          <w:rFonts w:ascii="Arial" w:hAnsi="Arial" w:cs="Arial"/>
        </w:rPr>
      </w:pPr>
      <w:r w:rsidRPr="002C09B3">
        <w:rPr>
          <w:rFonts w:ascii="Arial" w:hAnsi="Arial" w:cs="Arial"/>
        </w:rPr>
        <w:t>“La transparencia implica contar con información, pero también reestablecer los derechos de las personas cuando no son respetados. Es aquí donde la independencia del IACIP adquiere su mayor relevancia, pues a diferencia de una unidad de transparencia como órgano garante tenemos el poder de decidir y emitir resoluciones vinculantes con plena independencia y rigor técnico”, dijo la comisionada.</w:t>
      </w:r>
    </w:p>
    <w:p w14:paraId="64F879D0" w14:textId="77777777" w:rsidR="002C09B3" w:rsidRPr="008C6622" w:rsidRDefault="002C09B3" w:rsidP="00FD3DEC">
      <w:pPr>
        <w:spacing w:line="360" w:lineRule="auto"/>
        <w:ind w:left="720"/>
        <w:jc w:val="both"/>
        <w:rPr>
          <w:rFonts w:ascii="Arial" w:hAnsi="Arial" w:cs="Arial"/>
        </w:rPr>
      </w:pPr>
    </w:p>
    <w:p w14:paraId="11CDDA09" w14:textId="77777777" w:rsidR="000A756C" w:rsidRPr="008C6622" w:rsidRDefault="000A756C" w:rsidP="00FD3DEC">
      <w:pPr>
        <w:spacing w:line="360" w:lineRule="auto"/>
        <w:jc w:val="both"/>
        <w:rPr>
          <w:rFonts w:ascii="Arial" w:hAnsi="Arial" w:cs="Arial"/>
          <w:lang w:val="es-ES"/>
        </w:rPr>
      </w:pPr>
    </w:p>
    <w:p w14:paraId="25D1CF23" w14:textId="74CCA41A" w:rsidR="008C6622" w:rsidRDefault="008C6622" w:rsidP="00FD3DEC">
      <w:pPr>
        <w:spacing w:line="360" w:lineRule="auto"/>
        <w:jc w:val="both"/>
        <w:rPr>
          <w:rFonts w:ascii="Arial" w:hAnsi="Arial" w:cs="Arial"/>
          <w:lang w:val="es-ES"/>
        </w:rPr>
      </w:pPr>
    </w:p>
    <w:p w14:paraId="69C078BF" w14:textId="77777777" w:rsidR="008C6622" w:rsidRDefault="008C6622" w:rsidP="00FD3DEC">
      <w:pPr>
        <w:jc w:val="both"/>
        <w:rPr>
          <w:rFonts w:ascii="Arial" w:hAnsi="Arial" w:cs="Arial"/>
          <w:lang w:val="es-ES"/>
        </w:rPr>
      </w:pPr>
      <w:r>
        <w:rPr>
          <w:rFonts w:ascii="Arial" w:hAnsi="Arial" w:cs="Arial"/>
          <w:lang w:val="es-ES"/>
        </w:rPr>
        <w:br w:type="page"/>
      </w:r>
    </w:p>
    <w:p w14:paraId="77A7A0B1" w14:textId="0541DEC1" w:rsidR="000A756C" w:rsidRDefault="008C6622" w:rsidP="00FD3DEC">
      <w:pPr>
        <w:spacing w:line="360" w:lineRule="auto"/>
        <w:jc w:val="both"/>
        <w:rPr>
          <w:rFonts w:ascii="Arial" w:hAnsi="Arial" w:cs="Arial"/>
          <w:lang w:val="es-ES"/>
        </w:rPr>
      </w:pPr>
      <w:r>
        <w:rPr>
          <w:rFonts w:ascii="Arial" w:hAnsi="Arial" w:cs="Arial"/>
          <w:lang w:val="es-ES"/>
        </w:rPr>
        <w:lastRenderedPageBreak/>
        <w:t xml:space="preserve">Referencias </w:t>
      </w:r>
    </w:p>
    <w:p w14:paraId="3B99FE18" w14:textId="01EABD89" w:rsidR="008C6622" w:rsidRDefault="008C6622" w:rsidP="00FD3DEC">
      <w:pPr>
        <w:pStyle w:val="Prrafodelista"/>
        <w:numPr>
          <w:ilvl w:val="0"/>
          <w:numId w:val="3"/>
        </w:numPr>
        <w:spacing w:line="360" w:lineRule="auto"/>
        <w:jc w:val="both"/>
        <w:rPr>
          <w:rFonts w:ascii="Arial" w:hAnsi="Arial" w:cs="Arial"/>
        </w:rPr>
      </w:pPr>
      <w:r w:rsidRPr="008C6622">
        <w:rPr>
          <w:rFonts w:ascii="Arial" w:hAnsi="Arial" w:cs="Arial"/>
        </w:rPr>
        <w:t xml:space="preserve">Alatorre, I. (2024, 26 noviembre). El Instituto de Acceso a la Información cumple 21 años; Guanajuato listo para defenderlo. </w:t>
      </w:r>
      <w:r w:rsidRPr="008C6622">
        <w:rPr>
          <w:rFonts w:ascii="Arial" w:hAnsi="Arial" w:cs="Arial"/>
          <w:i/>
          <w:iCs/>
        </w:rPr>
        <w:t>La Silla Rota</w:t>
      </w:r>
      <w:r w:rsidRPr="008C6622">
        <w:rPr>
          <w:rFonts w:ascii="Arial" w:hAnsi="Arial" w:cs="Arial"/>
        </w:rPr>
        <w:t xml:space="preserve">. </w:t>
      </w:r>
      <w:hyperlink r:id="rId5" w:history="1">
        <w:r w:rsidRPr="00DD5A8C">
          <w:rPr>
            <w:rStyle w:val="Hipervnculo"/>
            <w:rFonts w:ascii="Arial" w:hAnsi="Arial" w:cs="Arial"/>
          </w:rPr>
          <w:t>https://lasillarota.com/guanajuato/estado/2024/11/26/el-instituto-de-acceso-la-informacion-cumple-21-anos-guanajuato-listo-para-defenderlo-511793.html</w:t>
        </w:r>
      </w:hyperlink>
    </w:p>
    <w:p w14:paraId="5022EF3D" w14:textId="17AF5D00" w:rsidR="008C6622" w:rsidRDefault="008C6622" w:rsidP="00FD3DEC">
      <w:pPr>
        <w:pStyle w:val="Prrafodelista"/>
        <w:numPr>
          <w:ilvl w:val="0"/>
          <w:numId w:val="3"/>
        </w:numPr>
        <w:spacing w:line="360" w:lineRule="auto"/>
        <w:jc w:val="both"/>
        <w:rPr>
          <w:rFonts w:ascii="Arial" w:hAnsi="Arial" w:cs="Arial"/>
        </w:rPr>
      </w:pPr>
      <w:proofErr w:type="spellStart"/>
      <w:r w:rsidRPr="008C6622">
        <w:rPr>
          <w:rFonts w:ascii="Arial" w:hAnsi="Arial" w:cs="Arial"/>
        </w:rPr>
        <w:t>Iacip</w:t>
      </w:r>
      <w:proofErr w:type="spellEnd"/>
      <w:r w:rsidRPr="008C6622">
        <w:rPr>
          <w:rFonts w:ascii="Arial" w:hAnsi="Arial" w:cs="Arial"/>
        </w:rPr>
        <w:t xml:space="preserve">. (s. f.). </w:t>
      </w:r>
      <w:r w:rsidRPr="008C6622">
        <w:rPr>
          <w:rFonts w:ascii="Arial" w:hAnsi="Arial" w:cs="Arial"/>
          <w:i/>
          <w:iCs/>
        </w:rPr>
        <w:t>¿Qué es el IACIP?  –  IACIP</w:t>
      </w:r>
      <w:r w:rsidRPr="008C6622">
        <w:rPr>
          <w:rFonts w:ascii="Arial" w:hAnsi="Arial" w:cs="Arial"/>
        </w:rPr>
        <w:t xml:space="preserve">. </w:t>
      </w:r>
      <w:hyperlink r:id="rId6" w:history="1">
        <w:r w:rsidRPr="00DD5A8C">
          <w:rPr>
            <w:rStyle w:val="Hipervnculo"/>
            <w:rFonts w:ascii="Arial" w:hAnsi="Arial" w:cs="Arial"/>
          </w:rPr>
          <w:t>https://iacip-gto.org.mx/wn/que-es-el-iacip/</w:t>
        </w:r>
      </w:hyperlink>
    </w:p>
    <w:p w14:paraId="1397A53A" w14:textId="77777777" w:rsidR="008C6622" w:rsidRPr="008C6622" w:rsidRDefault="008C6622" w:rsidP="00FD3DEC">
      <w:pPr>
        <w:pStyle w:val="Prrafodelista"/>
        <w:spacing w:line="360" w:lineRule="auto"/>
        <w:jc w:val="both"/>
        <w:rPr>
          <w:rFonts w:ascii="Arial" w:hAnsi="Arial" w:cs="Arial"/>
        </w:rPr>
      </w:pPr>
    </w:p>
    <w:p w14:paraId="0A798388" w14:textId="77777777" w:rsidR="008C6622" w:rsidRPr="000A756C" w:rsidRDefault="008C6622" w:rsidP="00FD3DEC">
      <w:pPr>
        <w:spacing w:line="360" w:lineRule="auto"/>
        <w:jc w:val="both"/>
        <w:rPr>
          <w:rFonts w:ascii="Arial" w:hAnsi="Arial" w:cs="Arial"/>
          <w:lang w:val="es-ES"/>
        </w:rPr>
      </w:pPr>
    </w:p>
    <w:sectPr w:rsidR="008C6622" w:rsidRPr="000A756C" w:rsidSect="002C09B3">
      <w:pgSz w:w="12240" w:h="15840" w:code="1"/>
      <w:pgMar w:top="1701" w:right="1701" w:bottom="170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50E3507"/>
    <w:multiLevelType w:val="hybridMultilevel"/>
    <w:tmpl w:val="09A0B7E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5E6D3F06"/>
    <w:multiLevelType w:val="multilevel"/>
    <w:tmpl w:val="0C6CED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7084411F"/>
    <w:multiLevelType w:val="multilevel"/>
    <w:tmpl w:val="234090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37255622">
    <w:abstractNumId w:val="1"/>
  </w:num>
  <w:num w:numId="2" w16cid:durableId="637298835">
    <w:abstractNumId w:val="2"/>
  </w:num>
  <w:num w:numId="3" w16cid:durableId="2986071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507F"/>
    <w:rsid w:val="00064861"/>
    <w:rsid w:val="0008507F"/>
    <w:rsid w:val="000A756C"/>
    <w:rsid w:val="002C09B3"/>
    <w:rsid w:val="00446C13"/>
    <w:rsid w:val="00521893"/>
    <w:rsid w:val="006B3432"/>
    <w:rsid w:val="007B72AE"/>
    <w:rsid w:val="0087344B"/>
    <w:rsid w:val="008C6622"/>
    <w:rsid w:val="00B32955"/>
    <w:rsid w:val="00C30DAA"/>
    <w:rsid w:val="00D952E3"/>
    <w:rsid w:val="00FD3DE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854CD7"/>
  <w15:chartTrackingRefBased/>
  <w15:docId w15:val="{F74EA02E-765B-46CB-8DF7-2DFC01B97A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s-MX"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08507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08507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08507F"/>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08507F"/>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08507F"/>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08507F"/>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08507F"/>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08507F"/>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08507F"/>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08507F"/>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08507F"/>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08507F"/>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08507F"/>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08507F"/>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08507F"/>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08507F"/>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08507F"/>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08507F"/>
    <w:rPr>
      <w:rFonts w:eastAsiaTheme="majorEastAsia" w:cstheme="majorBidi"/>
      <w:color w:val="272727" w:themeColor="text1" w:themeTint="D8"/>
    </w:rPr>
  </w:style>
  <w:style w:type="paragraph" w:styleId="Ttulo">
    <w:name w:val="Title"/>
    <w:basedOn w:val="Normal"/>
    <w:next w:val="Normal"/>
    <w:link w:val="TtuloCar"/>
    <w:uiPriority w:val="10"/>
    <w:qFormat/>
    <w:rsid w:val="0008507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08507F"/>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08507F"/>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08507F"/>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08507F"/>
    <w:pPr>
      <w:spacing w:before="160"/>
      <w:jc w:val="center"/>
    </w:pPr>
    <w:rPr>
      <w:i/>
      <w:iCs/>
      <w:color w:val="404040" w:themeColor="text1" w:themeTint="BF"/>
    </w:rPr>
  </w:style>
  <w:style w:type="character" w:customStyle="1" w:styleId="CitaCar">
    <w:name w:val="Cita Car"/>
    <w:basedOn w:val="Fuentedeprrafopredeter"/>
    <w:link w:val="Cita"/>
    <w:uiPriority w:val="29"/>
    <w:rsid w:val="0008507F"/>
    <w:rPr>
      <w:i/>
      <w:iCs/>
      <w:color w:val="404040" w:themeColor="text1" w:themeTint="BF"/>
    </w:rPr>
  </w:style>
  <w:style w:type="paragraph" w:styleId="Prrafodelista">
    <w:name w:val="List Paragraph"/>
    <w:basedOn w:val="Normal"/>
    <w:uiPriority w:val="34"/>
    <w:qFormat/>
    <w:rsid w:val="0008507F"/>
    <w:pPr>
      <w:ind w:left="720"/>
      <w:contextualSpacing/>
    </w:pPr>
  </w:style>
  <w:style w:type="character" w:styleId="nfasisintenso">
    <w:name w:val="Intense Emphasis"/>
    <w:basedOn w:val="Fuentedeprrafopredeter"/>
    <w:uiPriority w:val="21"/>
    <w:qFormat/>
    <w:rsid w:val="0008507F"/>
    <w:rPr>
      <w:i/>
      <w:iCs/>
      <w:color w:val="0F4761" w:themeColor="accent1" w:themeShade="BF"/>
    </w:rPr>
  </w:style>
  <w:style w:type="paragraph" w:styleId="Citadestacada">
    <w:name w:val="Intense Quote"/>
    <w:basedOn w:val="Normal"/>
    <w:next w:val="Normal"/>
    <w:link w:val="CitadestacadaCar"/>
    <w:uiPriority w:val="30"/>
    <w:qFormat/>
    <w:rsid w:val="0008507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08507F"/>
    <w:rPr>
      <w:i/>
      <w:iCs/>
      <w:color w:val="0F4761" w:themeColor="accent1" w:themeShade="BF"/>
    </w:rPr>
  </w:style>
  <w:style w:type="character" w:styleId="Referenciaintensa">
    <w:name w:val="Intense Reference"/>
    <w:basedOn w:val="Fuentedeprrafopredeter"/>
    <w:uiPriority w:val="32"/>
    <w:qFormat/>
    <w:rsid w:val="0008507F"/>
    <w:rPr>
      <w:b/>
      <w:bCs/>
      <w:smallCaps/>
      <w:color w:val="0F4761" w:themeColor="accent1" w:themeShade="BF"/>
      <w:spacing w:val="5"/>
    </w:rPr>
  </w:style>
  <w:style w:type="character" w:styleId="Hipervnculo">
    <w:name w:val="Hyperlink"/>
    <w:basedOn w:val="Fuentedeprrafopredeter"/>
    <w:uiPriority w:val="99"/>
    <w:unhideWhenUsed/>
    <w:rsid w:val="008C6622"/>
    <w:rPr>
      <w:color w:val="467886" w:themeColor="hyperlink"/>
      <w:u w:val="single"/>
    </w:rPr>
  </w:style>
  <w:style w:type="character" w:styleId="Mencinsinresolver">
    <w:name w:val="Unresolved Mention"/>
    <w:basedOn w:val="Fuentedeprrafopredeter"/>
    <w:uiPriority w:val="99"/>
    <w:semiHidden/>
    <w:unhideWhenUsed/>
    <w:rsid w:val="008C662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88456440">
      <w:bodyDiv w:val="1"/>
      <w:marLeft w:val="0"/>
      <w:marRight w:val="0"/>
      <w:marTop w:val="0"/>
      <w:marBottom w:val="0"/>
      <w:divBdr>
        <w:top w:val="none" w:sz="0" w:space="0" w:color="auto"/>
        <w:left w:val="none" w:sz="0" w:space="0" w:color="auto"/>
        <w:bottom w:val="none" w:sz="0" w:space="0" w:color="auto"/>
        <w:right w:val="none" w:sz="0" w:space="0" w:color="auto"/>
      </w:divBdr>
    </w:div>
    <w:div w:id="602568406">
      <w:bodyDiv w:val="1"/>
      <w:marLeft w:val="0"/>
      <w:marRight w:val="0"/>
      <w:marTop w:val="0"/>
      <w:marBottom w:val="0"/>
      <w:divBdr>
        <w:top w:val="none" w:sz="0" w:space="0" w:color="auto"/>
        <w:left w:val="none" w:sz="0" w:space="0" w:color="auto"/>
        <w:bottom w:val="none" w:sz="0" w:space="0" w:color="auto"/>
        <w:right w:val="none" w:sz="0" w:space="0" w:color="auto"/>
      </w:divBdr>
      <w:divsChild>
        <w:div w:id="333922696">
          <w:marLeft w:val="-720"/>
          <w:marRight w:val="0"/>
          <w:marTop w:val="0"/>
          <w:marBottom w:val="0"/>
          <w:divBdr>
            <w:top w:val="none" w:sz="0" w:space="0" w:color="auto"/>
            <w:left w:val="none" w:sz="0" w:space="0" w:color="auto"/>
            <w:bottom w:val="none" w:sz="0" w:space="0" w:color="auto"/>
            <w:right w:val="none" w:sz="0" w:space="0" w:color="auto"/>
          </w:divBdr>
        </w:div>
      </w:divsChild>
    </w:div>
    <w:div w:id="612900795">
      <w:bodyDiv w:val="1"/>
      <w:marLeft w:val="0"/>
      <w:marRight w:val="0"/>
      <w:marTop w:val="0"/>
      <w:marBottom w:val="0"/>
      <w:divBdr>
        <w:top w:val="none" w:sz="0" w:space="0" w:color="auto"/>
        <w:left w:val="none" w:sz="0" w:space="0" w:color="auto"/>
        <w:bottom w:val="none" w:sz="0" w:space="0" w:color="auto"/>
        <w:right w:val="none" w:sz="0" w:space="0" w:color="auto"/>
      </w:divBdr>
    </w:div>
    <w:div w:id="1002393828">
      <w:bodyDiv w:val="1"/>
      <w:marLeft w:val="0"/>
      <w:marRight w:val="0"/>
      <w:marTop w:val="0"/>
      <w:marBottom w:val="0"/>
      <w:divBdr>
        <w:top w:val="none" w:sz="0" w:space="0" w:color="auto"/>
        <w:left w:val="none" w:sz="0" w:space="0" w:color="auto"/>
        <w:bottom w:val="none" w:sz="0" w:space="0" w:color="auto"/>
        <w:right w:val="none" w:sz="0" w:space="0" w:color="auto"/>
      </w:divBdr>
      <w:divsChild>
        <w:div w:id="2068067904">
          <w:marLeft w:val="-720"/>
          <w:marRight w:val="0"/>
          <w:marTop w:val="0"/>
          <w:marBottom w:val="0"/>
          <w:divBdr>
            <w:top w:val="none" w:sz="0" w:space="0" w:color="auto"/>
            <w:left w:val="none" w:sz="0" w:space="0" w:color="auto"/>
            <w:bottom w:val="none" w:sz="0" w:space="0" w:color="auto"/>
            <w:right w:val="none" w:sz="0" w:space="0" w:color="auto"/>
          </w:divBdr>
        </w:div>
      </w:divsChild>
    </w:div>
    <w:div w:id="1443265923">
      <w:bodyDiv w:val="1"/>
      <w:marLeft w:val="0"/>
      <w:marRight w:val="0"/>
      <w:marTop w:val="0"/>
      <w:marBottom w:val="0"/>
      <w:divBdr>
        <w:top w:val="none" w:sz="0" w:space="0" w:color="auto"/>
        <w:left w:val="none" w:sz="0" w:space="0" w:color="auto"/>
        <w:bottom w:val="none" w:sz="0" w:space="0" w:color="auto"/>
        <w:right w:val="none" w:sz="0" w:space="0" w:color="auto"/>
      </w:divBdr>
      <w:divsChild>
        <w:div w:id="2113629084">
          <w:marLeft w:val="-720"/>
          <w:marRight w:val="0"/>
          <w:marTop w:val="0"/>
          <w:marBottom w:val="0"/>
          <w:divBdr>
            <w:top w:val="none" w:sz="0" w:space="0" w:color="auto"/>
            <w:left w:val="none" w:sz="0" w:space="0" w:color="auto"/>
            <w:bottom w:val="none" w:sz="0" w:space="0" w:color="auto"/>
            <w:right w:val="none" w:sz="0" w:space="0" w:color="auto"/>
          </w:divBdr>
        </w:div>
      </w:divsChild>
    </w:div>
    <w:div w:id="1463770760">
      <w:bodyDiv w:val="1"/>
      <w:marLeft w:val="0"/>
      <w:marRight w:val="0"/>
      <w:marTop w:val="0"/>
      <w:marBottom w:val="0"/>
      <w:divBdr>
        <w:top w:val="none" w:sz="0" w:space="0" w:color="auto"/>
        <w:left w:val="none" w:sz="0" w:space="0" w:color="auto"/>
        <w:bottom w:val="none" w:sz="0" w:space="0" w:color="auto"/>
        <w:right w:val="none" w:sz="0" w:space="0" w:color="auto"/>
      </w:divBdr>
    </w:div>
    <w:div w:id="1912542674">
      <w:bodyDiv w:val="1"/>
      <w:marLeft w:val="0"/>
      <w:marRight w:val="0"/>
      <w:marTop w:val="0"/>
      <w:marBottom w:val="0"/>
      <w:divBdr>
        <w:top w:val="none" w:sz="0" w:space="0" w:color="auto"/>
        <w:left w:val="none" w:sz="0" w:space="0" w:color="auto"/>
        <w:bottom w:val="none" w:sz="0" w:space="0" w:color="auto"/>
        <w:right w:val="none" w:sz="0" w:space="0" w:color="auto"/>
      </w:divBdr>
      <w:divsChild>
        <w:div w:id="532613300">
          <w:marLeft w:val="-720"/>
          <w:marRight w:val="0"/>
          <w:marTop w:val="0"/>
          <w:marBottom w:val="0"/>
          <w:divBdr>
            <w:top w:val="none" w:sz="0" w:space="0" w:color="auto"/>
            <w:left w:val="none" w:sz="0" w:space="0" w:color="auto"/>
            <w:bottom w:val="none" w:sz="0" w:space="0" w:color="auto"/>
            <w:right w:val="none" w:sz="0" w:space="0" w:color="auto"/>
          </w:divBdr>
        </w:div>
      </w:divsChild>
    </w:div>
    <w:div w:id="2022389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iacip-gto.org.mx/wn/que-es-el-iacip/" TargetMode="External"/><Relationship Id="rId5" Type="http://schemas.openxmlformats.org/officeDocument/2006/relationships/hyperlink" Target="https://lasillarota.com/guanajuato/estado/2024/11/26/el-instituto-de-acceso-la-informacion-cumple-21-anos-guanajuato-listo-para-defenderlo-511793.html" TargetMode="Externa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1049</Words>
  <Characters>5773</Characters>
  <Application>Microsoft Office Word</Application>
  <DocSecurity>0</DocSecurity>
  <Lines>48</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Marlet Cortes</dc:creator>
  <cp:keywords/>
  <dc:description/>
  <cp:lastModifiedBy>Paola Lopez</cp:lastModifiedBy>
  <cp:revision>2</cp:revision>
  <dcterms:created xsi:type="dcterms:W3CDTF">2024-12-05T16:23:00Z</dcterms:created>
  <dcterms:modified xsi:type="dcterms:W3CDTF">2024-12-05T16:23:00Z</dcterms:modified>
</cp:coreProperties>
</file>