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669279" w14:textId="4A7BFB6D" w:rsidR="00A04C35" w:rsidRPr="00D8622B" w:rsidRDefault="00011426" w:rsidP="00D8622B">
      <w:pPr>
        <w:jc w:val="center"/>
        <w:rPr>
          <w:b/>
          <w:smallCaps/>
        </w:rPr>
      </w:pPr>
      <w:r w:rsidRPr="00D8622B">
        <w:rPr>
          <w:b/>
          <w:smallCaps/>
        </w:rPr>
        <w:t xml:space="preserve">La </w:t>
      </w:r>
      <w:r w:rsidR="00F529A0" w:rsidRPr="00D8622B">
        <w:rPr>
          <w:b/>
          <w:smallCaps/>
        </w:rPr>
        <w:t>génesis</w:t>
      </w:r>
      <w:r w:rsidRPr="00D8622B">
        <w:rPr>
          <w:b/>
          <w:smallCaps/>
        </w:rPr>
        <w:t xml:space="preserve"> de la transparencia en Guanajuato</w:t>
      </w:r>
      <w:r w:rsidR="00FC38AB">
        <w:rPr>
          <w:b/>
          <w:smallCaps/>
        </w:rPr>
        <w:t xml:space="preserve"> (2001- 2013)</w:t>
      </w:r>
    </w:p>
    <w:p w14:paraId="5963FC72" w14:textId="6BD895B4" w:rsidR="000D19F5" w:rsidRPr="00D8622B" w:rsidRDefault="00D8622B" w:rsidP="000D19F5">
      <w:pPr>
        <w:jc w:val="center"/>
        <w:rPr>
          <w:b/>
          <w:smallCaps/>
        </w:rPr>
      </w:pPr>
      <w:r w:rsidRPr="00D8622B">
        <w:rPr>
          <w:b/>
          <w:smallCaps/>
        </w:rPr>
        <w:t>José de Jesús Velázquez Hernández</w:t>
      </w:r>
    </w:p>
    <w:p w14:paraId="303284D8" w14:textId="11BEBBAA" w:rsidR="00011426" w:rsidRDefault="00F529A0" w:rsidP="00D8622B">
      <w:pPr>
        <w:pStyle w:val="Ttulo1"/>
      </w:pPr>
      <w:bookmarkStart w:id="0" w:name="_Toc189246136"/>
      <w:r>
        <w:t>Resumen</w:t>
      </w:r>
      <w:bookmarkEnd w:id="0"/>
    </w:p>
    <w:p w14:paraId="4AC0C853" w14:textId="359BA515" w:rsidR="0022626F" w:rsidRDefault="00E23A31" w:rsidP="00E23A31">
      <w:pPr>
        <w:rPr>
          <w:b/>
          <w:caps/>
        </w:rPr>
      </w:pPr>
      <w:r>
        <w:t>Este estudio ofrecerá una perspectiva sobre los antecedentes constitucionales en México relacionados con la transparencia, así como la normativa correspondiente en Guanajuato, enfocándose en la creación y evolución de las leyes que dieron lugar al Instituto de Acceso a la Información Pública para el Estado de Guanajuato (IACIP) entre 2001 y 2013. Se explorarán las motivaciones de los impulsores de estas iniciativas, sus justificaciones y sus visiones sobre las necesidades sociales y gubernamentales, considerando su rol como representantes del poder legislativo y ejecutivo. Además, se analizarán las propuestas, los procesos legislativos y sus características, destacando los eventos más relevantes y la visión de los promotores, desvelando aspectos no explícitos en la propia legislación, como las intenciones, motivos y razonamientos del legislador, a la luz del trabajo del IACIP en beneficio de la sociedad guanajuatense.</w:t>
      </w:r>
    </w:p>
    <w:p w14:paraId="0240CA4F" w14:textId="2929FC4C" w:rsidR="00D8622B" w:rsidRDefault="00D8622B" w:rsidP="0022626F">
      <w:pPr>
        <w:pStyle w:val="Ttulo1"/>
      </w:pPr>
      <w:bookmarkStart w:id="1" w:name="_Toc189246137"/>
      <w:r>
        <w:t>Antecedentes del</w:t>
      </w:r>
      <w:r w:rsidR="00F860E4">
        <w:t xml:space="preserve"> derecho a la información</w:t>
      </w:r>
      <w:r>
        <w:t xml:space="preserve"> </w:t>
      </w:r>
      <w:r w:rsidR="00F860E4">
        <w:t>en México</w:t>
      </w:r>
      <w:bookmarkEnd w:id="1"/>
    </w:p>
    <w:p w14:paraId="76DB8EF6" w14:textId="3EFCEB3D" w:rsidR="00F860E4" w:rsidRPr="00F860E4" w:rsidRDefault="00F860E4" w:rsidP="00F860E4">
      <w:r>
        <w:t xml:space="preserve">En México, </w:t>
      </w:r>
      <w:r w:rsidR="00281227">
        <w:t xml:space="preserve">en los siglos XIX, </w:t>
      </w:r>
      <w:r>
        <w:t xml:space="preserve">el derecho a la información estuvo consignado en </w:t>
      </w:r>
      <w:r w:rsidR="00944E60">
        <w:t>sus constituciones</w:t>
      </w:r>
      <w:r w:rsidR="004223A4">
        <w:t xml:space="preserve">, en </w:t>
      </w:r>
      <w:r>
        <w:t xml:space="preserve">el derecho de libertad de </w:t>
      </w:r>
      <w:r w:rsidR="009C7E77">
        <w:t>imprenta</w:t>
      </w:r>
      <w:r w:rsidR="00944E60">
        <w:t xml:space="preserve"> (e</w:t>
      </w:r>
      <w:r w:rsidR="00944E60" w:rsidRPr="00944E60">
        <w:t>xpresión, escribir y publicar</w:t>
      </w:r>
      <w:r w:rsidR="00944E60">
        <w:t>)</w:t>
      </w:r>
      <w:r w:rsidR="00E52192">
        <w:rPr>
          <w:rStyle w:val="Refdenotaalpie"/>
        </w:rPr>
        <w:footnoteReference w:id="1"/>
      </w:r>
      <w:r>
        <w:t xml:space="preserve">. </w:t>
      </w:r>
    </w:p>
    <w:p w14:paraId="0AF9731A" w14:textId="77DC4948" w:rsidR="00011426" w:rsidRDefault="00F639A6" w:rsidP="008D7C16">
      <w:r>
        <w:t xml:space="preserve">En el siglo XX, la </w:t>
      </w:r>
      <w:r w:rsidRPr="00F639A6">
        <w:rPr>
          <w:i/>
        </w:rPr>
        <w:t>Constitución Política de los Estados Unidos Mexicanos que reforma la de 5 de febrero del 1857</w:t>
      </w:r>
      <w:r>
        <w:t xml:space="preserve">, publicada </w:t>
      </w:r>
      <w:r w:rsidRPr="00F639A6">
        <w:t xml:space="preserve">el 5 de febrero de 1917 en el </w:t>
      </w:r>
      <w:r w:rsidRPr="00F639A6">
        <w:rPr>
          <w:i/>
        </w:rPr>
        <w:t>Diario Oficial de la Federación</w:t>
      </w:r>
      <w:r>
        <w:rPr>
          <w:i/>
        </w:rPr>
        <w:t xml:space="preserve">, </w:t>
      </w:r>
      <w:r w:rsidR="00557B49">
        <w:t>contempla lo relativo a la libertad de imprenta en sus artículos 6o y 7o</w:t>
      </w:r>
      <w:r w:rsidR="00F817F7">
        <w:t xml:space="preserve">. Ambos </w:t>
      </w:r>
      <w:r w:rsidR="009B2505">
        <w:t xml:space="preserve">artículos permanecieron sin reformas hasta 1977, </w:t>
      </w:r>
      <w:r w:rsidR="00E63B1D">
        <w:t>año en</w:t>
      </w:r>
      <w:r w:rsidR="009B2505">
        <w:t xml:space="preserve"> que se </w:t>
      </w:r>
      <w:r w:rsidR="00E63B1D">
        <w:t xml:space="preserve">reformó </w:t>
      </w:r>
      <w:r w:rsidR="00F817F7">
        <w:t>el artículo 6o, al adicionar en la parte fina</w:t>
      </w:r>
      <w:r w:rsidR="008D7C16">
        <w:t>l que el Estado</w:t>
      </w:r>
      <w:r w:rsidR="008D7C16" w:rsidRPr="008D7C16">
        <w:t xml:space="preserve"> </w:t>
      </w:r>
      <w:r w:rsidR="008D7C16">
        <w:t>garantizará el derecho a la información.</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390"/>
        <w:gridCol w:w="4390"/>
      </w:tblGrid>
      <w:tr w:rsidR="008D7C16" w14:paraId="21DEEF08" w14:textId="77777777" w:rsidTr="00055457">
        <w:trPr>
          <w:trHeight w:val="575"/>
        </w:trPr>
        <w:tc>
          <w:tcPr>
            <w:tcW w:w="4390" w:type="dxa"/>
          </w:tcPr>
          <w:p w14:paraId="14ABF03E" w14:textId="2041D57F" w:rsidR="008D7C16" w:rsidRDefault="008D7C16" w:rsidP="008D7C16">
            <w:pPr>
              <w:ind w:left="-9"/>
              <w:jc w:val="center"/>
            </w:pPr>
            <w:r>
              <w:lastRenderedPageBreak/>
              <w:t>Texto original 5 de febrero de 1917</w:t>
            </w:r>
          </w:p>
        </w:tc>
        <w:tc>
          <w:tcPr>
            <w:tcW w:w="4390" w:type="dxa"/>
          </w:tcPr>
          <w:p w14:paraId="5CD63C94" w14:textId="01898A77" w:rsidR="008D7C16" w:rsidRDefault="008D7C16" w:rsidP="008D7C16">
            <w:pPr>
              <w:ind w:left="-9"/>
              <w:jc w:val="center"/>
            </w:pPr>
            <w:r>
              <w:t>Reforma del 6 de diciembre de 1977</w:t>
            </w:r>
          </w:p>
        </w:tc>
      </w:tr>
      <w:tr w:rsidR="008D7C16" w14:paraId="66D59F75" w14:textId="77777777" w:rsidTr="00055457">
        <w:trPr>
          <w:trHeight w:val="575"/>
        </w:trPr>
        <w:tc>
          <w:tcPr>
            <w:tcW w:w="4390" w:type="dxa"/>
          </w:tcPr>
          <w:p w14:paraId="6E4BF5A7" w14:textId="0E14A076" w:rsidR="008D7C16" w:rsidRDefault="008D7C16" w:rsidP="008D7C16">
            <w:pPr>
              <w:ind w:left="-9"/>
            </w:pPr>
            <w:r>
              <w:t>Art. 6o.- La manifestación de las ideas no será objeto de ninguna inquisición judicial o administrativa, sino en el caso de que ataque la moral, los derechos</w:t>
            </w:r>
            <w:r w:rsidR="00F00C9F">
              <w:t xml:space="preserve"> </w:t>
            </w:r>
            <w:r w:rsidR="00087ACA">
              <w:t xml:space="preserve">de </w:t>
            </w:r>
            <w:r w:rsidR="00F00C9F">
              <w:t>t</w:t>
            </w:r>
            <w:r>
              <w:t>ercero, provoque algún delito, o perturbe el orden público.</w:t>
            </w:r>
          </w:p>
        </w:tc>
        <w:tc>
          <w:tcPr>
            <w:tcW w:w="4390" w:type="dxa"/>
          </w:tcPr>
          <w:p w14:paraId="0DEA0BDC" w14:textId="2CC8ED0D" w:rsidR="008D7C16" w:rsidRDefault="008D7C16" w:rsidP="00395389">
            <w:pPr>
              <w:spacing w:after="0"/>
              <w:ind w:left="-9"/>
            </w:pPr>
            <w:r>
              <w:t>Art. 6o.- La manifestación de las ideas no será objeto de ninguna inquisición judicial o administrativa, sino en el caso de que ataque la moral, los derechos de tercero, provoque algún delito, o perturbe el orden público</w:t>
            </w:r>
            <w:r w:rsidRPr="00F00C9F">
              <w:rPr>
                <w:u w:val="single"/>
              </w:rPr>
              <w:t xml:space="preserve">: </w:t>
            </w:r>
            <w:r w:rsidR="00F00C9F" w:rsidRPr="00F00C9F">
              <w:rPr>
                <w:u w:val="single"/>
              </w:rPr>
              <w:t xml:space="preserve">el </w:t>
            </w:r>
            <w:r w:rsidRPr="00F00C9F">
              <w:rPr>
                <w:u w:val="single"/>
              </w:rPr>
              <w:t xml:space="preserve">derecho a la </w:t>
            </w:r>
            <w:r w:rsidR="00F00C9F" w:rsidRPr="00F00C9F">
              <w:rPr>
                <w:u w:val="single"/>
              </w:rPr>
              <w:t>información</w:t>
            </w:r>
            <w:r w:rsidRPr="00F00C9F">
              <w:rPr>
                <w:u w:val="single"/>
              </w:rPr>
              <w:t xml:space="preserve"> ser</w:t>
            </w:r>
            <w:r w:rsidR="00F00C9F" w:rsidRPr="00F00C9F">
              <w:rPr>
                <w:u w:val="single"/>
              </w:rPr>
              <w:t>á</w:t>
            </w:r>
            <w:r w:rsidRPr="00F00C9F">
              <w:rPr>
                <w:u w:val="single"/>
              </w:rPr>
              <w:t xml:space="preserve"> garantizado</w:t>
            </w:r>
            <w:r w:rsidR="00F00C9F" w:rsidRPr="00F00C9F">
              <w:rPr>
                <w:u w:val="single"/>
              </w:rPr>
              <w:t xml:space="preserve"> </w:t>
            </w:r>
            <w:r w:rsidRPr="00F00C9F">
              <w:rPr>
                <w:u w:val="single"/>
              </w:rPr>
              <w:t>por el Estado</w:t>
            </w:r>
            <w:r w:rsidR="00F00C9F" w:rsidRPr="00F00C9F">
              <w:rPr>
                <w:u w:val="single"/>
              </w:rPr>
              <w:t>.</w:t>
            </w:r>
          </w:p>
        </w:tc>
      </w:tr>
    </w:tbl>
    <w:p w14:paraId="64685E8F" w14:textId="59F5D2C6" w:rsidR="002F2D5F" w:rsidRDefault="002F2D5F" w:rsidP="002F2D5F">
      <w:r>
        <w:t>E</w:t>
      </w:r>
      <w:r w:rsidR="00FE0E11">
        <w:t>l</w:t>
      </w:r>
      <w:r>
        <w:t xml:space="preserve"> </w:t>
      </w:r>
      <w:r w:rsidR="00FE0E11">
        <w:t xml:space="preserve">20 de julio de </w:t>
      </w:r>
      <w:r>
        <w:t>2007</w:t>
      </w:r>
      <w:r w:rsidR="00FE0E11">
        <w:t xml:space="preserve">, fue publicado en el </w:t>
      </w:r>
      <w:r w:rsidR="00FE0E11" w:rsidRPr="00E33694">
        <w:rPr>
          <w:i/>
        </w:rPr>
        <w:t>Diario Oficial de la Federación</w:t>
      </w:r>
      <w:r w:rsidR="00FE0E11">
        <w:t xml:space="preserve"> el </w:t>
      </w:r>
      <w:r w:rsidR="00E33694" w:rsidRPr="00E33694">
        <w:rPr>
          <w:i/>
        </w:rPr>
        <w:t>Decreto por el que se adiciona un segundo párrafo con siete fracciones al artículo 6o, de la Constitución Política de los Estados Unidos Mexicanos</w:t>
      </w:r>
      <w:r w:rsidR="00E33694">
        <w:t xml:space="preserve">. </w:t>
      </w:r>
      <w:r w:rsidR="008B4469" w:rsidRPr="008B4469">
        <w:t xml:space="preserve">La </w:t>
      </w:r>
      <w:r w:rsidR="008B4469">
        <w:t xml:space="preserve">adición </w:t>
      </w:r>
      <w:r w:rsidR="008B4469" w:rsidRPr="008B4469">
        <w:t>consistió principalmente en establecer los principios y fundamentos para el ejercicio del derecho de acceso a la información por parte de la Federación, los Estados y el Distrito Federal, dentro de sus respectivas competencias. Se destacaron principios como la máxima publicidad, la protección de la información relacionada con la vida privada, los datos personales y la rectificación, los mecanismos para acceder a la información, procedimientos ágiles de revisión, la gestión de la información a través de medios electrónicos, y la forma en que los sujetos obligados harán pública la información. También se incluyó lo relacionado con el incumplimiento de estas disposiciones y las sanciones correspondientes.</w:t>
      </w:r>
    </w:p>
    <w:p w14:paraId="618294E3" w14:textId="77777777" w:rsidR="00046F3B" w:rsidRDefault="00046F3B" w:rsidP="00046F3B">
      <w:pPr>
        <w:pStyle w:val="Ttulo1"/>
      </w:pPr>
      <w:bookmarkStart w:id="2" w:name="_Toc189246138"/>
      <w:r>
        <w:t>Primera ley federal y creación del IFAI</w:t>
      </w:r>
      <w:bookmarkEnd w:id="2"/>
    </w:p>
    <w:p w14:paraId="421F640F" w14:textId="4602EE92" w:rsidR="00841967" w:rsidRDefault="007739EC" w:rsidP="001D2B62">
      <w:r>
        <w:t xml:space="preserve">A nivel federal, la primera </w:t>
      </w:r>
      <w:r w:rsidR="00BE4166">
        <w:t>ley en materia de trasparencia fue la</w:t>
      </w:r>
      <w:r w:rsidR="00F00C9F">
        <w:t xml:space="preserve"> </w:t>
      </w:r>
      <w:r w:rsidRPr="00F00C9F">
        <w:rPr>
          <w:i/>
        </w:rPr>
        <w:t>Ley Federal de Transparencia y acceso a la Información Pública Gubernamental</w:t>
      </w:r>
      <w:r w:rsidR="00841967">
        <w:rPr>
          <w:i/>
        </w:rPr>
        <w:t xml:space="preserve"> </w:t>
      </w:r>
      <w:r w:rsidR="00841967">
        <w:t>(Congreso de la Unión, 2002)</w:t>
      </w:r>
      <w:r w:rsidRPr="004518A6">
        <w:t xml:space="preserve">, publicada en el </w:t>
      </w:r>
      <w:r w:rsidRPr="00F00C9F">
        <w:rPr>
          <w:i/>
        </w:rPr>
        <w:t xml:space="preserve">Diario Oficial de la Federación </w:t>
      </w:r>
      <w:r w:rsidRPr="004518A6">
        <w:t xml:space="preserve">el 11 de </w:t>
      </w:r>
      <w:r>
        <w:t>j</w:t>
      </w:r>
      <w:r w:rsidRPr="004518A6">
        <w:t>unio del 2002</w:t>
      </w:r>
      <w:r w:rsidR="002C39B9">
        <w:t>, iniciando su vigencia al día siguiente</w:t>
      </w:r>
      <w:r w:rsidR="00BE4166">
        <w:t>.</w:t>
      </w:r>
      <w:r w:rsidR="001D2B62">
        <w:t xml:space="preserve"> Esta ley en el </w:t>
      </w:r>
      <w:r w:rsidR="000A4849">
        <w:t>artículo 33</w:t>
      </w:r>
      <w:r w:rsidR="001D2B62">
        <w:t xml:space="preserve"> señalaba l</w:t>
      </w:r>
      <w:r w:rsidR="000A4849">
        <w:t>a</w:t>
      </w:r>
      <w:r w:rsidR="001D2B62">
        <w:t xml:space="preserve"> </w:t>
      </w:r>
      <w:r w:rsidR="000A4849">
        <w:t>naturaleza y objeto de</w:t>
      </w:r>
      <w:r w:rsidR="001D2B62">
        <w:t xml:space="preserve"> </w:t>
      </w:r>
      <w:r w:rsidR="001D2B62" w:rsidRPr="001D2B62">
        <w:t>Instituto Federal de Acceso a la Información Pública</w:t>
      </w:r>
      <w:r w:rsidR="00CA1422">
        <w:t xml:space="preserve"> (IFAI):</w:t>
      </w:r>
    </w:p>
    <w:p w14:paraId="3C4E1B6F" w14:textId="499588D5" w:rsidR="002C39B9" w:rsidRDefault="000A4849" w:rsidP="000A4849">
      <w:pPr>
        <w:ind w:left="567"/>
      </w:pPr>
      <w:r>
        <w:t xml:space="preserve">Artículo 33. El Instituto Federal de Acceso a la Información Pública es un órgano de la Administración Pública Federal, con autonomía operativa, presupuestaria y de decisión, encargado de promover y difundir el ejercicio del </w:t>
      </w:r>
      <w:r>
        <w:lastRenderedPageBreak/>
        <w:t>derecho de acceso a la información; resolver sobre la negativa a las solicitudes de acceso a la información y proteger los datos personales en poder de las dependencias y entidades. (p. 9)</w:t>
      </w:r>
    </w:p>
    <w:p w14:paraId="681F52E7" w14:textId="79871F1E" w:rsidR="00CA1422" w:rsidRDefault="00CA1422" w:rsidP="004C5DF4">
      <w:pPr>
        <w:rPr>
          <w:b/>
          <w:smallCaps/>
        </w:rPr>
      </w:pPr>
      <w:bookmarkStart w:id="3" w:name="_Toc189246139"/>
      <w:r w:rsidRPr="00CA1422">
        <w:t>El artículo undécimo transitorio indicaba que el Presupuesto de Egresos de la Federación para 2003 debía incluir la asignación presupuestaria necesaria para garantizar la creación y el correcto funcionamiento del Instituto.</w:t>
      </w:r>
      <w:bookmarkEnd w:id="3"/>
    </w:p>
    <w:p w14:paraId="2AC3FC08" w14:textId="10D9E64C" w:rsidR="00CA1422" w:rsidRDefault="00CA1422" w:rsidP="00CA1422">
      <w:r>
        <w:t xml:space="preserve">El 24 de diciembre de 2002, fue publicado en el Diario Oficial de la Federación el </w:t>
      </w:r>
      <w:r w:rsidRPr="00CA1422">
        <w:rPr>
          <w:i/>
        </w:rPr>
        <w:t>Decreto del Instituto Federal de Acceso a la Información Pública</w:t>
      </w:r>
      <w:r w:rsidRPr="00CA1422">
        <w:t>.</w:t>
      </w:r>
      <w:r>
        <w:t xml:space="preserve"> El decreto </w:t>
      </w:r>
      <w:r w:rsidR="00980C63">
        <w:t>a</w:t>
      </w:r>
      <w:r w:rsidR="00980C63" w:rsidRPr="00980C63">
        <w:t xml:space="preserve">demás de los requisitos establecidos en la </w:t>
      </w:r>
      <w:r w:rsidR="005B7B62" w:rsidRPr="00F00C9F">
        <w:rPr>
          <w:i/>
        </w:rPr>
        <w:t>Ley Federal de Transparencia y acceso a la Información Pública Gubernamental</w:t>
      </w:r>
      <w:r w:rsidR="00980C63" w:rsidRPr="00980C63">
        <w:t xml:space="preserve"> para el nombramiento, permanencia en el cargo y la rotación de los periodos de los miembros de su órgano de dirección, el Instituto podrá desempeñar sus funciones con independencia, eficacia, objetividad e imparcialidad, sin que ello afecte su pertenencia a la administración pública ni su sujeción a los límites presupuestarios aprobados por la Cámara de Diputados.</w:t>
      </w:r>
      <w:r w:rsidR="005B7B62">
        <w:t xml:space="preserve"> El decreto entró en vigor al siguiente día de su publicación en el Diario Oficial de la Federación.</w:t>
      </w:r>
    </w:p>
    <w:p w14:paraId="5BC02A08" w14:textId="14BC6008" w:rsidR="003973BB" w:rsidRPr="00A3531D" w:rsidRDefault="00A35EB2" w:rsidP="00AC1671">
      <w:pPr>
        <w:pStyle w:val="Ttulo2"/>
      </w:pPr>
      <w:bookmarkStart w:id="4" w:name="_Toc189246140"/>
      <w:r w:rsidRPr="00A3531D">
        <w:t>Iniciativa</w:t>
      </w:r>
      <w:r w:rsidR="003973BB" w:rsidRPr="00A3531D">
        <w:t xml:space="preserve"> </w:t>
      </w:r>
      <w:r w:rsidR="00A3531D" w:rsidRPr="00A3531D">
        <w:t>de Ley de Acceso a la Información Pública del Estado y los Municipios de Guanajuato (</w:t>
      </w:r>
      <w:r w:rsidR="003973BB" w:rsidRPr="00A3531D">
        <w:t>Ley de Claridad</w:t>
      </w:r>
      <w:r w:rsidR="00A3531D" w:rsidRPr="00A3531D">
        <w:t>)</w:t>
      </w:r>
      <w:r w:rsidR="003973BB" w:rsidRPr="00A3531D">
        <w:t xml:space="preserve"> y la Procuraduría de la Información Pública</w:t>
      </w:r>
      <w:bookmarkEnd w:id="4"/>
    </w:p>
    <w:p w14:paraId="0913EA67" w14:textId="749C6F31" w:rsidR="0087125F" w:rsidRDefault="007739EC" w:rsidP="00B577B0">
      <w:r>
        <w:t>En Guanajuato, e</w:t>
      </w:r>
      <w:r w:rsidR="00D8520B">
        <w:t>l 1</w:t>
      </w:r>
      <w:r w:rsidR="000D07B8">
        <w:t>9</w:t>
      </w:r>
      <w:r w:rsidR="00D8520B">
        <w:t xml:space="preserve"> de marzo de 20</w:t>
      </w:r>
      <w:r w:rsidR="000D07B8">
        <w:t>0</w:t>
      </w:r>
      <w:r w:rsidR="00D8520B">
        <w:t xml:space="preserve">1, </w:t>
      </w:r>
      <w:r w:rsidR="000D07B8">
        <w:t>diputados integrantes del grupo parlamentario del Partido Revolucionario Institucional, ingresaron ante la Diputación Permanente del Congreso del Estado de Guanajuato iniciativa de Ley de Acceso a la Información Pública del Estado y los Municipios de Guanajuato</w:t>
      </w:r>
      <w:r w:rsidR="00B45298">
        <w:t xml:space="preserve">, identificada como </w:t>
      </w:r>
      <w:r w:rsidR="00B45298" w:rsidRPr="00B577B0">
        <w:t>«</w:t>
      </w:r>
      <w:r w:rsidR="00B577B0">
        <w:t xml:space="preserve">Ley de </w:t>
      </w:r>
      <w:r w:rsidR="00B45298">
        <w:t>C</w:t>
      </w:r>
      <w:r w:rsidR="00B577B0">
        <w:t>laridad</w:t>
      </w:r>
      <w:r w:rsidR="00B45298">
        <w:t>»</w:t>
      </w:r>
      <w:r w:rsidR="00B577B0">
        <w:t xml:space="preserve"> en la esquina superior</w:t>
      </w:r>
      <w:r w:rsidR="00B45298">
        <w:t xml:space="preserve"> </w:t>
      </w:r>
      <w:r w:rsidR="00B577B0">
        <w:t>derecha</w:t>
      </w:r>
      <w:r w:rsidR="00B45298">
        <w:t xml:space="preserve"> del documento</w:t>
      </w:r>
      <w:r w:rsidR="00C33703">
        <w:t xml:space="preserve">. </w:t>
      </w:r>
      <w:r w:rsidR="00B45298">
        <w:t xml:space="preserve">La iniciativa </w:t>
      </w:r>
      <w:r w:rsidR="00C33703">
        <w:t xml:space="preserve">contemplaba la creación de la </w:t>
      </w:r>
      <w:r w:rsidR="0087125F">
        <w:t>«</w:t>
      </w:r>
      <w:r w:rsidR="0087125F" w:rsidRPr="0087125F">
        <w:t>Procuraduría de la Información Pública</w:t>
      </w:r>
      <w:r w:rsidR="0087125F">
        <w:t>». Esta procuraduría, tendría (entre otras atribuciones)</w:t>
      </w:r>
      <w:r w:rsidR="00D90409">
        <w:t>, resolver las impugnaciones de los particulares que se les haya negado, impedido o proporcionado de manera inexacta, incompleta o distinta la información pública solicitada.</w:t>
      </w:r>
    </w:p>
    <w:p w14:paraId="634B4516" w14:textId="0A060311" w:rsidR="003973BB" w:rsidRPr="001B1380" w:rsidRDefault="001B1380" w:rsidP="00AC1671">
      <w:pPr>
        <w:pStyle w:val="Ttulo2"/>
      </w:pPr>
      <w:bookmarkStart w:id="5" w:name="_Toc189246141"/>
      <w:r>
        <w:lastRenderedPageBreak/>
        <w:t xml:space="preserve">Iniciativa </w:t>
      </w:r>
      <w:r w:rsidR="003973BB" w:rsidRPr="001B1380">
        <w:t>Ley de Transparencia y Acceso a la Información Pública y el Instituto de Información para el Desarrollo</w:t>
      </w:r>
      <w:bookmarkEnd w:id="5"/>
    </w:p>
    <w:p w14:paraId="7DEF58FD" w14:textId="4F0D337F" w:rsidR="007739EC" w:rsidRDefault="00087ACA" w:rsidP="00473043">
      <w:r>
        <w:t xml:space="preserve">El 27 de septiembre de 2002, el titular del Poder Ejecutivo del Estado de Guanajuato, </w:t>
      </w:r>
      <w:r w:rsidR="00631A7F">
        <w:t>J</w:t>
      </w:r>
      <w:r w:rsidR="00631A7F" w:rsidRPr="00631A7F">
        <w:t>uan Carlos Romero Hicks</w:t>
      </w:r>
      <w:r w:rsidR="00631A7F">
        <w:t xml:space="preserve">, </w:t>
      </w:r>
      <w:r>
        <w:t xml:space="preserve">ingreso ante la presidencia de la Quincuagésima Octava Legislatura </w:t>
      </w:r>
      <w:r w:rsidR="00631A7F">
        <w:t>d</w:t>
      </w:r>
      <w:r>
        <w:t xml:space="preserve">el Congreso </w:t>
      </w:r>
      <w:r w:rsidR="00631A7F">
        <w:t>d</w:t>
      </w:r>
      <w:r>
        <w:t>el Estado</w:t>
      </w:r>
      <w:r w:rsidR="00631A7F">
        <w:t xml:space="preserve">, iniciativa de </w:t>
      </w:r>
      <w:r w:rsidR="00631A7F" w:rsidRPr="00395389">
        <w:rPr>
          <w:i/>
        </w:rPr>
        <w:t>Ley de Transparencia y Acceso a la Información Publica para el Estado de Guanajuato</w:t>
      </w:r>
      <w:r w:rsidR="00631A7F">
        <w:t>. Esta iniciativa</w:t>
      </w:r>
      <w:r w:rsidR="00473043">
        <w:t xml:space="preserve"> señala en la exposición de motivos que </w:t>
      </w:r>
      <w:r w:rsidR="00273749">
        <w:t>su</w:t>
      </w:r>
      <w:r w:rsidR="00273749" w:rsidRPr="00273749">
        <w:t xml:space="preserve"> finalidad de es garantizar que la información emitida por el </w:t>
      </w:r>
      <w:r w:rsidR="00273749">
        <w:t>e</w:t>
      </w:r>
      <w:r w:rsidR="00273749" w:rsidRPr="00273749">
        <w:t xml:space="preserve">stado sea, indiscutiblemente, un recurso beneficioso para </w:t>
      </w:r>
      <w:r w:rsidR="00273749">
        <w:t xml:space="preserve">la población. </w:t>
      </w:r>
      <w:r w:rsidR="00273749" w:rsidRPr="00273749">
        <w:t>Prom</w:t>
      </w:r>
      <w:r w:rsidR="00273749">
        <w:t>oviendo</w:t>
      </w:r>
      <w:r w:rsidR="00273749" w:rsidRPr="00273749">
        <w:t xml:space="preserve"> la participación social de las personas en las actividades públicas</w:t>
      </w:r>
      <w:r w:rsidR="00273749">
        <w:t>, al necesitar</w:t>
      </w:r>
      <w:r w:rsidR="00273749" w:rsidRPr="00273749">
        <w:t xml:space="preserve"> la sociedad asumir cada vez más una corresponsabilidad en los asuntos públicos</w:t>
      </w:r>
      <w:r w:rsidR="00396E0A">
        <w:t xml:space="preserve">, siendo su </w:t>
      </w:r>
      <w:r w:rsidR="00273749" w:rsidRPr="00273749">
        <w:t xml:space="preserve">participación efectiva si se basa en una opinión informada. </w:t>
      </w:r>
      <w:r w:rsidR="00396E0A">
        <w:t xml:space="preserve">Siendo </w:t>
      </w:r>
      <w:r w:rsidR="00273749" w:rsidRPr="00273749">
        <w:t>fundamental eliminar los mitos y secretos que envuelven las actividades gubernamentales, avanzando hacia gobiernos más transparentes y sujetos al escrutinio público, donde las personas contribuyan activamente a la construcción de una sociedad mejor.</w:t>
      </w:r>
    </w:p>
    <w:p w14:paraId="21265969" w14:textId="27CE9E84" w:rsidR="00A35EB2" w:rsidRDefault="003973BB" w:rsidP="00A35EB2">
      <w:r>
        <w:t xml:space="preserve">La iniciativa </w:t>
      </w:r>
      <w:r w:rsidR="00CE0BDD">
        <w:t>señalaba en el</w:t>
      </w:r>
      <w:r w:rsidR="00A42259">
        <w:t xml:space="preserve"> </w:t>
      </w:r>
      <w:r w:rsidR="00CE0BDD">
        <w:t xml:space="preserve">capítulo </w:t>
      </w:r>
      <w:r w:rsidR="00A42259">
        <w:t>tercero</w:t>
      </w:r>
      <w:r w:rsidR="00CE0BDD">
        <w:t>,</w:t>
      </w:r>
      <w:r w:rsidR="00A42259">
        <w:t xml:space="preserve"> titulado </w:t>
      </w:r>
      <w:r w:rsidR="00CE0BDD">
        <w:t>«</w:t>
      </w:r>
      <w:r w:rsidR="00A42259">
        <w:t>Del Procedimiento ante el Tribunal de lo Contencioso</w:t>
      </w:r>
      <w:r w:rsidR="00CE0BDD">
        <w:t xml:space="preserve"> </w:t>
      </w:r>
      <w:r w:rsidR="00A42259">
        <w:t>Administrativo</w:t>
      </w:r>
      <w:r w:rsidR="00CE0BDD">
        <w:t>»</w:t>
      </w:r>
      <w:r w:rsidR="00A42259">
        <w:t xml:space="preserve">, </w:t>
      </w:r>
      <w:r w:rsidR="00CE0BDD">
        <w:t xml:space="preserve">que ante la negativa de acceso a la </w:t>
      </w:r>
      <w:r w:rsidR="00A35EB2">
        <w:t>información</w:t>
      </w:r>
      <w:r w:rsidR="00CE0BDD">
        <w:t xml:space="preserve"> publica, o la inexistencia de los documentos solicitados</w:t>
      </w:r>
      <w:r w:rsidR="00A35EB2">
        <w:t xml:space="preserve">, el ciudadano podía interponer el </w:t>
      </w:r>
      <w:r w:rsidR="00CE0BDD" w:rsidRPr="00CE0BDD">
        <w:t>juicio de nulidad</w:t>
      </w:r>
      <w:r w:rsidR="00A35EB2">
        <w:t xml:space="preserve"> </w:t>
      </w:r>
      <w:r w:rsidR="00A35EB2" w:rsidRPr="00A35EB2">
        <w:t>ante el Tribunal de lo Contencioso Administrativo</w:t>
      </w:r>
      <w:r w:rsidR="00A35EB2">
        <w:t>.</w:t>
      </w:r>
    </w:p>
    <w:p w14:paraId="1D9BB12F" w14:textId="79FCC643" w:rsidR="007919F3" w:rsidRDefault="007919F3" w:rsidP="007919F3">
      <w:r>
        <w:t xml:space="preserve">El 5 de octubre de 2002, el Secretario General del Congreso del Estado de Guanajuato, remitió escrito al </w:t>
      </w:r>
      <w:r w:rsidR="008D6DAF">
        <w:t>presidente</w:t>
      </w:r>
      <w:r>
        <w:t xml:space="preserve"> de las Comisiones Unidas de Gobernación y Puntos Constitucionales y de Justicia, emitiendo ambas iniciativas.</w:t>
      </w:r>
    </w:p>
    <w:p w14:paraId="310B4BDD" w14:textId="0F48C780" w:rsidR="00251F0A" w:rsidRDefault="007919F3" w:rsidP="00251F0A">
      <w:r>
        <w:t xml:space="preserve">En relación a las iniciativas descritas, mediante </w:t>
      </w:r>
      <w:r w:rsidR="001B1380">
        <w:t xml:space="preserve">oficio </w:t>
      </w:r>
      <w:r w:rsidR="001B1380" w:rsidRPr="001B1380">
        <w:t>DPL-1027/02</w:t>
      </w:r>
      <w:r w:rsidR="001B1380">
        <w:t xml:space="preserve"> del </w:t>
      </w:r>
      <w:r w:rsidR="00251F0A">
        <w:t xml:space="preserve">30 de octubre de 2002, el </w:t>
      </w:r>
      <w:r w:rsidR="00B06A9A">
        <w:t xml:space="preserve">Subsecretario </w:t>
      </w:r>
      <w:r w:rsidR="00251F0A">
        <w:t xml:space="preserve">de </w:t>
      </w:r>
      <w:r w:rsidR="00B06A9A">
        <w:t xml:space="preserve">Gobierno, por instrucciones del Gobernador, </w:t>
      </w:r>
      <w:r>
        <w:t>propone</w:t>
      </w:r>
      <w:r w:rsidR="00251F0A">
        <w:t xml:space="preserve"> diversas observaciones a la iniciativa, entre las cuales destaca la creación del </w:t>
      </w:r>
      <w:r w:rsidR="00B06A9A">
        <w:t>«</w:t>
      </w:r>
      <w:r w:rsidR="00251F0A" w:rsidRPr="00251F0A">
        <w:t>Instituto de Información para el Desarrollo</w:t>
      </w:r>
      <w:r w:rsidR="00B06A9A">
        <w:t>»</w:t>
      </w:r>
      <w:r w:rsidR="00251F0A">
        <w:t xml:space="preserve">, </w:t>
      </w:r>
      <w:r w:rsidR="00252CBF">
        <w:t xml:space="preserve">proponiendo </w:t>
      </w:r>
      <w:r w:rsidR="00DC3259">
        <w:t>que</w:t>
      </w:r>
      <w:r w:rsidR="00252CBF">
        <w:t xml:space="preserve"> el </w:t>
      </w:r>
      <w:r w:rsidR="00251F0A">
        <w:t xml:space="preserve">Poder Ejecutivo </w:t>
      </w:r>
      <w:r w:rsidR="00DC3259">
        <w:t>fuera</w:t>
      </w:r>
      <w:r w:rsidR="00251F0A">
        <w:t xml:space="preserve"> responsable de</w:t>
      </w:r>
      <w:r w:rsidR="00252CBF">
        <w:t xml:space="preserve"> </w:t>
      </w:r>
      <w:r w:rsidR="00251F0A">
        <w:t xml:space="preserve">establecer </w:t>
      </w:r>
      <w:r w:rsidR="00DC3259">
        <w:t>sus</w:t>
      </w:r>
      <w:r w:rsidR="00251F0A">
        <w:t xml:space="preserve"> lineamientos, </w:t>
      </w:r>
      <w:r w:rsidR="00DC3259">
        <w:t xml:space="preserve">y se constituyera como </w:t>
      </w:r>
      <w:r w:rsidR="00252CBF">
        <w:t xml:space="preserve">un </w:t>
      </w:r>
      <w:r w:rsidR="00251F0A">
        <w:t xml:space="preserve">organismo </w:t>
      </w:r>
      <w:r w:rsidR="00252CBF">
        <w:t xml:space="preserve">público </w:t>
      </w:r>
      <w:r w:rsidR="00251F0A">
        <w:t>descentralizado</w:t>
      </w:r>
      <w:r w:rsidR="00DC3259">
        <w:t>,</w:t>
      </w:r>
      <w:r w:rsidR="00DC3259" w:rsidRPr="00DC3259">
        <w:t xml:space="preserve"> </w:t>
      </w:r>
      <w:r w:rsidR="00DC3259">
        <w:t xml:space="preserve">con </w:t>
      </w:r>
      <w:r w:rsidR="00DC3259" w:rsidRPr="00DC3259">
        <w:t>personalidad jurídica y patrimonio propio, autonomía para ejercer sus atribuciones</w:t>
      </w:r>
      <w:r w:rsidR="00DC3259">
        <w:t xml:space="preserve"> y</w:t>
      </w:r>
      <w:r w:rsidR="00DC3259" w:rsidRPr="00DC3259">
        <w:t xml:space="preserve"> para determinar su </w:t>
      </w:r>
      <w:r w:rsidR="00DC3259" w:rsidRPr="00DC3259">
        <w:lastRenderedPageBreak/>
        <w:t>funcionamiento y tomar decisiones sobre sus resoluciones</w:t>
      </w:r>
      <w:r w:rsidR="00E7721E">
        <w:t>, y lo integrara un Consejo General, conformado por tres Consejeros designados por el Gobernador del Estado por u</w:t>
      </w:r>
      <w:r w:rsidR="00B45298">
        <w:t>n</w:t>
      </w:r>
      <w:r w:rsidR="00E7721E">
        <w:t xml:space="preserve"> periodo de </w:t>
      </w:r>
      <w:r w:rsidR="00251F0A">
        <w:t>cuatro a</w:t>
      </w:r>
      <w:r w:rsidR="00252CBF">
        <w:t>ñ</w:t>
      </w:r>
      <w:r w:rsidR="00251F0A">
        <w:t>os.</w:t>
      </w:r>
    </w:p>
    <w:p w14:paraId="607D5FA4" w14:textId="44CB053F" w:rsidR="00B45298" w:rsidRDefault="00B45298" w:rsidP="00251F0A"/>
    <w:p w14:paraId="3B952697" w14:textId="1E52BF51" w:rsidR="00B45298" w:rsidRPr="008D6DAF" w:rsidRDefault="00B45298" w:rsidP="00395389">
      <w:pPr>
        <w:pStyle w:val="Ttulo2"/>
      </w:pPr>
      <w:bookmarkStart w:id="6" w:name="_Toc189246142"/>
      <w:r w:rsidRPr="008D6DAF">
        <w:t>Dictamen</w:t>
      </w:r>
      <w:bookmarkEnd w:id="6"/>
    </w:p>
    <w:p w14:paraId="6782521A" w14:textId="200743E5" w:rsidR="00B45298" w:rsidRDefault="008D6DAF" w:rsidP="00B92C5D">
      <w:r>
        <w:t xml:space="preserve">El 11 de junio de 2003, se emite dictamen por parte de las </w:t>
      </w:r>
      <w:r w:rsidRPr="008D6DAF">
        <w:t>Comisiones Unidas de Gobernación y Puntos Constitucionales y de Justicia</w:t>
      </w:r>
      <w:r w:rsidR="00BE4166">
        <w:t>, respecto a l</w:t>
      </w:r>
      <w:r w:rsidR="00B92C5D">
        <w:t>a</w:t>
      </w:r>
      <w:r w:rsidR="00B92C5D" w:rsidRPr="00B92C5D">
        <w:t xml:space="preserve"> </w:t>
      </w:r>
      <w:r w:rsidR="00B92C5D" w:rsidRPr="00B92C5D">
        <w:rPr>
          <w:i/>
        </w:rPr>
        <w:t xml:space="preserve">Ley de Acceso a la Información Pública para el Estado y los Municipios </w:t>
      </w:r>
      <w:r w:rsidR="00B92C5D">
        <w:rPr>
          <w:i/>
        </w:rPr>
        <w:t>d</w:t>
      </w:r>
      <w:r w:rsidR="00B92C5D" w:rsidRPr="00B92C5D">
        <w:rPr>
          <w:i/>
        </w:rPr>
        <w:t>e Guanajuato</w:t>
      </w:r>
      <w:r w:rsidR="00B92C5D">
        <w:rPr>
          <w:i/>
        </w:rPr>
        <w:t>,</w:t>
      </w:r>
      <w:r w:rsidR="00B92C5D">
        <w:t xml:space="preserve"> conjuntando l</w:t>
      </w:r>
      <w:r w:rsidR="00BE4166">
        <w:t>as dos iniciativas en materia de transparencia.</w:t>
      </w:r>
      <w:r w:rsidR="00BE4166" w:rsidRPr="00BE4166">
        <w:t xml:space="preserve"> </w:t>
      </w:r>
      <w:r w:rsidR="00DE700C" w:rsidRPr="00DE700C">
        <w:t xml:space="preserve">El dictamen señala que se realizó un </w:t>
      </w:r>
      <w:r w:rsidR="00011958">
        <w:t>estudio</w:t>
      </w:r>
      <w:r w:rsidR="00DE700C" w:rsidRPr="00DE700C">
        <w:t xml:space="preserve"> comparativo del contenido de ambas iniciativas para identificar sus coincidencias</w:t>
      </w:r>
      <w:r w:rsidR="00011958">
        <w:t xml:space="preserve">, y </w:t>
      </w:r>
      <w:r w:rsidR="00011958" w:rsidRPr="00011958">
        <w:t xml:space="preserve">un análisis </w:t>
      </w:r>
      <w:r w:rsidR="00011958">
        <w:t xml:space="preserve">con </w:t>
      </w:r>
      <w:r w:rsidR="00011958" w:rsidRPr="00011958">
        <w:t>la Ley Federal y las legislaciones de Jalisco, Querétaro, Michoacán, Sinaloa y Aguascalientes en este ámbito</w:t>
      </w:r>
      <w:r w:rsidR="00B92C5D">
        <w:t>.</w:t>
      </w:r>
    </w:p>
    <w:p w14:paraId="0C926506" w14:textId="67F9A4EF" w:rsidR="00E1502F" w:rsidRDefault="00E1502F" w:rsidP="00E1502F">
      <w:r w:rsidRPr="00E1502F">
        <w:t xml:space="preserve">En relación con la creación de la </w:t>
      </w:r>
      <w:r w:rsidR="00B06A9A">
        <w:t>«</w:t>
      </w:r>
      <w:r w:rsidRPr="00E1502F">
        <w:t>Procuraduría de la Información Pública</w:t>
      </w:r>
      <w:r w:rsidR="00B06A9A">
        <w:t>»</w:t>
      </w:r>
      <w:r w:rsidRPr="00E1502F">
        <w:t xml:space="preserve">, se concluyó que esta entidad no tendría competencia para conocer los recursos interpuestos contra los otros dos poderes ni los ayuntamientos. Asimismo, respecto a la propuesta de establecer el Instituto de Información para el Desarrollo, se determinó que su implementación requeriría una reforma constitucional que le otorgara autonomía a ese nivel, garantizando la legitimidad de su actuación sobre los sujetos de la ley, de manera similar a la Procuraduría Estatal de los Derechos Humanos o al Instituto Electoral del Estado de Guanajuato. </w:t>
      </w:r>
    </w:p>
    <w:p w14:paraId="7AA81BCF" w14:textId="75013354" w:rsidR="00E1502F" w:rsidRDefault="00E1502F" w:rsidP="00E1502F">
      <w:r>
        <w:t xml:space="preserve">Proponiendo la </w:t>
      </w:r>
      <w:r w:rsidR="00722C01">
        <w:t xml:space="preserve">creación del </w:t>
      </w:r>
      <w:r w:rsidR="00722C01" w:rsidRPr="00722C01">
        <w:t>Instituto de Acceso a la Información Pública</w:t>
      </w:r>
      <w:r w:rsidR="00722C01">
        <w:t xml:space="preserve"> en los siguientes términos:</w:t>
      </w:r>
    </w:p>
    <w:p w14:paraId="15859904" w14:textId="1F122B78" w:rsidR="0087125F" w:rsidRDefault="00E1502F" w:rsidP="00722C01">
      <w:pPr>
        <w:ind w:left="567"/>
      </w:pPr>
      <w:proofErr w:type="spellStart"/>
      <w:r>
        <w:t>Concientes</w:t>
      </w:r>
      <w:proofErr w:type="spellEnd"/>
      <w:r>
        <w:t xml:space="preserve"> </w:t>
      </w:r>
      <w:r w:rsidR="009C47F8" w:rsidRPr="009C47F8">
        <w:t>[</w:t>
      </w:r>
      <w:r w:rsidR="009C47F8" w:rsidRPr="009C47F8">
        <w:rPr>
          <w:i/>
        </w:rPr>
        <w:t>sic</w:t>
      </w:r>
      <w:r w:rsidR="009C47F8" w:rsidRPr="009C47F8">
        <w:t xml:space="preserve">] </w:t>
      </w:r>
      <w:r>
        <w:t xml:space="preserve">de la necesidad de contar con un órgano que tuviera tales atribuciones, diseñamos el Instituto de Acceso a la Información </w:t>
      </w:r>
      <w:r w:rsidR="00722C01">
        <w:t>Pública</w:t>
      </w:r>
      <w:r>
        <w:t xml:space="preserve">. Dicho Instituto contara con un Consejo General y un Director General. Corresponderá al Gobernador del Estado la designación del </w:t>
      </w:r>
      <w:proofErr w:type="gramStart"/>
      <w:r>
        <w:t>Director</w:t>
      </w:r>
      <w:proofErr w:type="gramEnd"/>
      <w:r>
        <w:t xml:space="preserve">, previa consulta con los otros dos poderes, pudiendo recabar propuestas de los ayuntamientos y de instituciones y organizaciones académicas y profesionales. Cada uno de los poderes del Estado designara un </w:t>
      </w:r>
      <w:proofErr w:type="gramStart"/>
      <w:r>
        <w:t>Consejero</w:t>
      </w:r>
      <w:proofErr w:type="gramEnd"/>
      <w:r>
        <w:t xml:space="preserve">, </w:t>
      </w:r>
      <w:r>
        <w:lastRenderedPageBreak/>
        <w:t xml:space="preserve">lo que garantiza el equilibrio en su integración. Los </w:t>
      </w:r>
      <w:proofErr w:type="gramStart"/>
      <w:r>
        <w:t>Consejeros</w:t>
      </w:r>
      <w:proofErr w:type="gramEnd"/>
      <w:r>
        <w:t xml:space="preserve"> duraran en su cargo cuatro a</w:t>
      </w:r>
      <w:r w:rsidR="00722C01">
        <w:t>ñ</w:t>
      </w:r>
      <w:r>
        <w:t xml:space="preserve">os y </w:t>
      </w:r>
      <w:r w:rsidR="00722C01">
        <w:t xml:space="preserve">podrán </w:t>
      </w:r>
      <w:r>
        <w:t xml:space="preserve">ser ratificados por igual término, lo que implica que la </w:t>
      </w:r>
      <w:r w:rsidR="00722C01">
        <w:t>duración</w:t>
      </w:r>
      <w:r>
        <w:t xml:space="preserve"> </w:t>
      </w:r>
      <w:r w:rsidR="00722C01">
        <w:t xml:space="preserve">máxima </w:t>
      </w:r>
      <w:r>
        <w:t xml:space="preserve">de su encargo </w:t>
      </w:r>
      <w:r w:rsidR="00722C01">
        <w:t>será</w:t>
      </w:r>
      <w:r>
        <w:t xml:space="preserve"> de ocho a</w:t>
      </w:r>
      <w:r w:rsidR="00722C01">
        <w:t>ñ</w:t>
      </w:r>
      <w:r>
        <w:t>os. Con la finalidad de aprovechar la</w:t>
      </w:r>
      <w:r w:rsidR="00722C01">
        <w:t xml:space="preserve"> </w:t>
      </w:r>
      <w:r>
        <w:t xml:space="preserve">experiencia que adquieran los consejeros nombrados se </w:t>
      </w:r>
      <w:r w:rsidR="00722C01">
        <w:t>prevé</w:t>
      </w:r>
      <w:r>
        <w:t xml:space="preserve"> un</w:t>
      </w:r>
      <w:r w:rsidR="00722C01">
        <w:t xml:space="preserve"> </w:t>
      </w:r>
      <w:r>
        <w:t xml:space="preserve">sistema de </w:t>
      </w:r>
      <w:r w:rsidR="00722C01">
        <w:t>sustitución</w:t>
      </w:r>
      <w:r>
        <w:t xml:space="preserve"> escalonado derivado del </w:t>
      </w:r>
      <w:r w:rsidR="00722C01">
        <w:t>artículo</w:t>
      </w:r>
      <w:r>
        <w:t xml:space="preserve"> tercero</w:t>
      </w:r>
      <w:r w:rsidR="00722C01">
        <w:t xml:space="preserve"> </w:t>
      </w:r>
      <w:r>
        <w:t>transitorio de esta Ley.</w:t>
      </w:r>
    </w:p>
    <w:p w14:paraId="2E355FEF" w14:textId="0B0FC412" w:rsidR="0087125F" w:rsidRDefault="005979F8" w:rsidP="00722C01">
      <w:r w:rsidRPr="005979F8">
        <w:t>En el decreto, el Título Segundo, Capítulo Primero, establece las disposiciones relacionadas con el Instituto de Acceso a la Información Pública (IACIP), dando origen a su reconocimiento legal.</w:t>
      </w:r>
    </w:p>
    <w:p w14:paraId="33B500B7" w14:textId="4CCED260" w:rsidR="004C08EA" w:rsidRPr="004C08EA" w:rsidRDefault="004C08EA" w:rsidP="00395389">
      <w:pPr>
        <w:pStyle w:val="Ttulo2"/>
      </w:pPr>
      <w:bookmarkStart w:id="7" w:name="_Toc189246143"/>
      <w:r w:rsidRPr="004C08EA">
        <w:t>Publicación de la Ley de Acceso a la Información Pública para el Estado y los Municipios de Guanajuato</w:t>
      </w:r>
      <w:bookmarkEnd w:id="7"/>
    </w:p>
    <w:p w14:paraId="0B21769A" w14:textId="76A0CDAD" w:rsidR="00E426D1" w:rsidRDefault="00357255" w:rsidP="00E426D1">
      <w:r>
        <w:t>El</w:t>
      </w:r>
      <w:r w:rsidR="00160CA4" w:rsidRPr="00160CA4">
        <w:t xml:space="preserve"> 29 de julio de 2003</w:t>
      </w:r>
      <w:r w:rsidR="00160CA4">
        <w:t xml:space="preserve"> se publicó en el </w:t>
      </w:r>
      <w:r w:rsidR="00160CA4" w:rsidRPr="00160CA4">
        <w:rPr>
          <w:i/>
        </w:rPr>
        <w:t>Periódico Oficial del Gobierno de Estado de Guanajuato</w:t>
      </w:r>
      <w:r w:rsidR="00160CA4">
        <w:t xml:space="preserve">, número 120, Segunda Parte, la </w:t>
      </w:r>
      <w:bookmarkStart w:id="8" w:name="_Hlk189222384"/>
      <w:r w:rsidR="00B92C5D" w:rsidRPr="00B92C5D">
        <w:rPr>
          <w:i/>
        </w:rPr>
        <w:t xml:space="preserve">Ley de Acceso a la Información Pública para el Estado y los Municipios </w:t>
      </w:r>
      <w:r w:rsidR="00B92C5D">
        <w:rPr>
          <w:i/>
        </w:rPr>
        <w:t>d</w:t>
      </w:r>
      <w:r w:rsidR="00B92C5D" w:rsidRPr="00B92C5D">
        <w:rPr>
          <w:i/>
        </w:rPr>
        <w:t>e Guanajuato</w:t>
      </w:r>
      <w:bookmarkEnd w:id="8"/>
      <w:r w:rsidR="00160CA4">
        <w:rPr>
          <w:i/>
        </w:rPr>
        <w:t xml:space="preserve">. </w:t>
      </w:r>
      <w:r w:rsidR="00C735A8">
        <w:t xml:space="preserve">El artículo 27 de la ley (Congreso del Estado de Guanajuato, 2003), </w:t>
      </w:r>
      <w:r w:rsidR="005979F8">
        <w:t>establece</w:t>
      </w:r>
      <w:r w:rsidR="00C735A8">
        <w:t xml:space="preserve"> la naturaleza del IACIP:</w:t>
      </w:r>
    </w:p>
    <w:p w14:paraId="14D1AD99" w14:textId="396F89CC" w:rsidR="00C735A8" w:rsidRDefault="00C735A8" w:rsidP="00C735A8">
      <w:pPr>
        <w:ind w:left="567"/>
      </w:pPr>
      <w:r>
        <w:t>Artículo 27.- El Instituto de Acceso a la Información Pública es un organismo público descentralizado con personalidad jurídica y patrimonio propios, dotado de autonomía en el ejercicio de sus atribuciones.</w:t>
      </w:r>
    </w:p>
    <w:p w14:paraId="022381CB" w14:textId="0A63A9E0" w:rsidR="00C735A8" w:rsidRDefault="00C735A8" w:rsidP="00C735A8">
      <w:pPr>
        <w:ind w:left="567"/>
      </w:pPr>
      <w:r>
        <w:t>El Instituto contará con la estructura administrativa necesaria para el ejercicio de sus atribuciones y, los sujetos obligados deberán prestarle el apoyo que requiera para el desempeño de sus funciones.</w:t>
      </w:r>
      <w:r w:rsidR="002544DB">
        <w:t xml:space="preserve"> (p. 28)</w:t>
      </w:r>
    </w:p>
    <w:p w14:paraId="6B36540A" w14:textId="77777777" w:rsidR="00810431" w:rsidRDefault="00810431" w:rsidP="00810431">
      <w:r>
        <w:t>La estructura del IACIP estaba conformada de la siguiente manera:</w:t>
      </w:r>
    </w:p>
    <w:p w14:paraId="0B224410" w14:textId="77777777" w:rsidR="00810431" w:rsidRPr="00810431" w:rsidRDefault="00810431" w:rsidP="00810431">
      <w:pPr>
        <w:rPr>
          <w:b/>
        </w:rPr>
      </w:pPr>
      <w:r w:rsidRPr="00810431">
        <w:rPr>
          <w:b/>
        </w:rPr>
        <w:t>I. Consejo General</w:t>
      </w:r>
    </w:p>
    <w:p w14:paraId="3C99D1DC" w14:textId="77777777" w:rsidR="00810431" w:rsidRDefault="00810431" w:rsidP="00810431">
      <w:r>
        <w:t>Estaba compuesto por tres consejeros, cada uno designado por uno de los poderes del Estado. La duración del cargo era de cuatro años, con la posibilidad de ser ratificados por un periodo igual.</w:t>
      </w:r>
    </w:p>
    <w:p w14:paraId="5A23994E" w14:textId="77777777" w:rsidR="00810431" w:rsidRPr="00810431" w:rsidRDefault="00810431" w:rsidP="00810431">
      <w:pPr>
        <w:rPr>
          <w:b/>
        </w:rPr>
      </w:pPr>
      <w:r w:rsidRPr="00810431">
        <w:rPr>
          <w:b/>
        </w:rPr>
        <w:t>II. Director General</w:t>
      </w:r>
    </w:p>
    <w:p w14:paraId="29780B2D" w14:textId="537D07F3" w:rsidR="008734C6" w:rsidRDefault="00810431" w:rsidP="00810431">
      <w:pPr>
        <w:rPr>
          <w:b/>
        </w:rPr>
      </w:pPr>
      <w:r>
        <w:lastRenderedPageBreak/>
        <w:t>Su nombramiento correspondía al Gobernador del Estado, quien previamente consultaba con los poderes Legislativo y Judicial. El periodo en el cargo era de cuatro años, con opción a ser ratificado por el mismo similar.</w:t>
      </w:r>
    </w:p>
    <w:p w14:paraId="7D519948" w14:textId="437977F8" w:rsidR="008734C6" w:rsidRPr="004C08EA" w:rsidRDefault="008734C6" w:rsidP="00AC1671">
      <w:pPr>
        <w:pStyle w:val="Ttulo2"/>
      </w:pPr>
      <w:bookmarkStart w:id="9" w:name="_Toc189246144"/>
      <w:r w:rsidRPr="008734C6">
        <w:t>Reglamento Interior del Instituto de Acceso a la Información pública del Estado de Guanajuato</w:t>
      </w:r>
      <w:r w:rsidR="00AC1671">
        <w:t xml:space="preserve"> de 2004</w:t>
      </w:r>
      <w:bookmarkEnd w:id="9"/>
    </w:p>
    <w:p w14:paraId="74F01363" w14:textId="2D3CBE18" w:rsidR="002D3406" w:rsidRDefault="00426746" w:rsidP="002D3406">
      <w:r>
        <w:t>El</w:t>
      </w:r>
      <w:r w:rsidRPr="00160CA4">
        <w:t xml:space="preserve"> </w:t>
      </w:r>
      <w:r w:rsidR="00D4029B">
        <w:t>Consejo General del Instituto de Acceso a la Información Pública del Estado</w:t>
      </w:r>
      <w:r>
        <w:t xml:space="preserve"> d</w:t>
      </w:r>
      <w:r w:rsidR="00D4029B">
        <w:t>e Guanajuato</w:t>
      </w:r>
      <w:r>
        <w:t xml:space="preserve">, en sesión ordinaria del 16 de agosto de 2004 aprobó el </w:t>
      </w:r>
      <w:r w:rsidRPr="00D4029B">
        <w:rPr>
          <w:i/>
        </w:rPr>
        <w:t>Reglamento Interior del Instituto de Acceso a la Información pública del Estado de Guanajuato</w:t>
      </w:r>
      <w:r>
        <w:rPr>
          <w:i/>
        </w:rPr>
        <w:t xml:space="preserve">, </w:t>
      </w:r>
      <w:r>
        <w:t xml:space="preserve">mismo que el </w:t>
      </w:r>
      <w:r w:rsidR="008734C6" w:rsidRPr="00160CA4">
        <w:t>2</w:t>
      </w:r>
      <w:r w:rsidR="00D4029B">
        <w:t>0</w:t>
      </w:r>
      <w:r w:rsidR="008734C6" w:rsidRPr="00160CA4">
        <w:t xml:space="preserve"> de </w:t>
      </w:r>
      <w:r w:rsidR="008734C6">
        <w:t xml:space="preserve">agosto de 2004 fue publicado en el </w:t>
      </w:r>
      <w:r w:rsidR="008734C6" w:rsidRPr="00160CA4">
        <w:rPr>
          <w:i/>
        </w:rPr>
        <w:t>Periódico Oficial del Gobierno de Estado de Guanajuato</w:t>
      </w:r>
      <w:r w:rsidR="008734C6">
        <w:t>, número 1</w:t>
      </w:r>
      <w:r w:rsidR="00D4029B">
        <w:t>34</w:t>
      </w:r>
      <w:r w:rsidR="008734C6">
        <w:t>, Segunda Parte</w:t>
      </w:r>
      <w:r w:rsidR="00303877">
        <w:t xml:space="preserve">. </w:t>
      </w:r>
      <w:r w:rsidR="008B7E01" w:rsidRPr="008B7E01">
        <w:t xml:space="preserve">Su </w:t>
      </w:r>
      <w:r w:rsidR="008B7E01">
        <w:t>objeto</w:t>
      </w:r>
      <w:r w:rsidR="008B7E01" w:rsidRPr="008B7E01">
        <w:t xml:space="preserve"> era definir la estructura orgánica del IACIP, así como regular su funcionamiento y gestión para asegurar el cumplimiento de las facultades otorgadas por la Ley de Acceso a la Información Pública para el Estado y los Municipios de Guanajuato, junto con otras normativas aplicables. También tenía como objetivo establecer los procedimientos para el acceso a la información pública y la corrección de datos personales dentro del Instituto, además de conocer y resolver los medios de impugnación contemplados en la ley. Asimismo, especificaba las competencias del Consejo, la Dirección General, el Director General y los demás integrantes del organismo.</w:t>
      </w:r>
    </w:p>
    <w:p w14:paraId="23AA1353" w14:textId="6E583213" w:rsidR="003561FC" w:rsidRPr="002D3406" w:rsidRDefault="002D3406" w:rsidP="00470673">
      <w:pPr>
        <w:pStyle w:val="Ttulo2"/>
      </w:pPr>
      <w:bookmarkStart w:id="10" w:name="_Toc189246145"/>
      <w:r w:rsidRPr="002D3406">
        <w:t>Iniciativa</w:t>
      </w:r>
      <w:r w:rsidR="004014C8">
        <w:t>s</w:t>
      </w:r>
      <w:r w:rsidRPr="002D3406">
        <w:t xml:space="preserve"> de Decreto que propone reformar diversas disposiciones de la Constitución Política para el Estado de Guanajuato</w:t>
      </w:r>
      <w:r>
        <w:t xml:space="preserve"> (2013)</w:t>
      </w:r>
      <w:bookmarkEnd w:id="10"/>
    </w:p>
    <w:p w14:paraId="5F70E7BB" w14:textId="2EE6DFFC" w:rsidR="004014C8" w:rsidRDefault="0039612D" w:rsidP="004014C8">
      <w:r>
        <w:t>Diputados del Grupo Parlamentario del Partido Revolucionario Institucional, el</w:t>
      </w:r>
      <w:r w:rsidR="004014C8">
        <w:t xml:space="preserve"> 22 de noviembre de 2012, ingres</w:t>
      </w:r>
      <w:r>
        <w:t>aron</w:t>
      </w:r>
      <w:r w:rsidR="004014C8">
        <w:t xml:space="preserve"> </w:t>
      </w:r>
      <w:r>
        <w:t xml:space="preserve">a la </w:t>
      </w:r>
      <w:r w:rsidRPr="0039612D">
        <w:t>presidencia del Congreso</w:t>
      </w:r>
      <w:r>
        <w:t xml:space="preserve"> del Estado, </w:t>
      </w:r>
      <w:r w:rsidR="004014C8">
        <w:t>iniciativa p</w:t>
      </w:r>
      <w:r>
        <w:t>ara</w:t>
      </w:r>
      <w:r w:rsidR="004014C8">
        <w:t xml:space="preserve"> adiciona</w:t>
      </w:r>
      <w:r>
        <w:t>r</w:t>
      </w:r>
      <w:r w:rsidR="004014C8">
        <w:t xml:space="preserve"> el </w:t>
      </w:r>
      <w:r>
        <w:t>artículo</w:t>
      </w:r>
      <w:r w:rsidR="004014C8">
        <w:t xml:space="preserve"> 4° </w:t>
      </w:r>
      <w:r>
        <w:t>bis</w:t>
      </w:r>
      <w:r w:rsidR="004014C8">
        <w:t xml:space="preserve"> y reforma</w:t>
      </w:r>
      <w:r>
        <w:t>r</w:t>
      </w:r>
      <w:r w:rsidR="004014C8">
        <w:t xml:space="preserve"> los </w:t>
      </w:r>
      <w:r>
        <w:t>artículos</w:t>
      </w:r>
      <w:r w:rsidR="004014C8">
        <w:t xml:space="preserve"> 63, 65</w:t>
      </w:r>
      <w:r>
        <w:t xml:space="preserve"> y</w:t>
      </w:r>
      <w:r w:rsidR="004014C8">
        <w:t xml:space="preserve"> 77 de la </w:t>
      </w:r>
      <w:r>
        <w:t>Constitución Política</w:t>
      </w:r>
      <w:r w:rsidR="004014C8">
        <w:t xml:space="preserve"> para el Estado de Guanajuato</w:t>
      </w:r>
      <w:r>
        <w:t xml:space="preserve">. En la exposición de motivos de la iniciativa, se proponía </w:t>
      </w:r>
      <w:r w:rsidRPr="0039612D">
        <w:t xml:space="preserve">la inclusión de un artículo 4° BIS en </w:t>
      </w:r>
      <w:r>
        <w:t>la</w:t>
      </w:r>
      <w:r w:rsidRPr="0039612D">
        <w:t xml:space="preserve"> Constitución Estatal, con el fin de otorgar autonomía constitucional al organismo encargado de garantizar el derecho de acceso a la información pública y la protección de datos personales en el estado de Guanajuato.</w:t>
      </w:r>
    </w:p>
    <w:p w14:paraId="4E442790" w14:textId="42406DEA" w:rsidR="00C709AA" w:rsidRDefault="00703469" w:rsidP="004014C8">
      <w:r w:rsidRPr="00703469">
        <w:lastRenderedPageBreak/>
        <w:t xml:space="preserve">El 2 de mayo de 2013, el Secretario de Gobierno presentó ante la Secretaría General del Congreso del Estado de Guanajuato una iniciativa del Ejecutivo estatal, en la que se proponía la reforma </w:t>
      </w:r>
      <w:r w:rsidR="00FA6362">
        <w:t>y adiciones de</w:t>
      </w:r>
      <w:r w:rsidRPr="00703469">
        <w:t xml:space="preserve"> </w:t>
      </w:r>
      <w:r w:rsidR="00FA6362">
        <w:t xml:space="preserve">los </w:t>
      </w:r>
      <w:r w:rsidRPr="00703469">
        <w:t xml:space="preserve">artículos </w:t>
      </w:r>
      <w:r w:rsidR="00FA6362" w:rsidRPr="00FA6362">
        <w:t xml:space="preserve">14, 77, 63, y 89 </w:t>
      </w:r>
      <w:r w:rsidRPr="00703469">
        <w:t xml:space="preserve">de la </w:t>
      </w:r>
      <w:r w:rsidRPr="00470673">
        <w:rPr>
          <w:i/>
        </w:rPr>
        <w:t xml:space="preserve">Constitución Política </w:t>
      </w:r>
      <w:r w:rsidR="00470673" w:rsidRPr="00470673">
        <w:rPr>
          <w:i/>
        </w:rPr>
        <w:t xml:space="preserve">para </w:t>
      </w:r>
      <w:r w:rsidRPr="00470673">
        <w:rPr>
          <w:i/>
        </w:rPr>
        <w:t>el Estado de Guanajuato.</w:t>
      </w:r>
      <w:r w:rsidR="00470673">
        <w:rPr>
          <w:i/>
        </w:rPr>
        <w:t xml:space="preserve"> </w:t>
      </w:r>
      <w:r w:rsidR="00DB1C1C" w:rsidRPr="00DB1C1C">
        <w:t xml:space="preserve">El propósito </w:t>
      </w:r>
      <w:r w:rsidR="00DB1C1C">
        <w:t xml:space="preserve">fundamental </w:t>
      </w:r>
      <w:r w:rsidR="00DB1C1C" w:rsidRPr="00DB1C1C">
        <w:t>de la iniciativa era presentar al constituyente permanente</w:t>
      </w:r>
      <w:r w:rsidR="00DB1C1C">
        <w:t xml:space="preserve"> de Guanajuato</w:t>
      </w:r>
      <w:r w:rsidR="00DB1C1C" w:rsidRPr="00DB1C1C">
        <w:t xml:space="preserve">, la propuesta de reformas y adiciones a la Constitución Política </w:t>
      </w:r>
      <w:r w:rsidR="00DB1C1C">
        <w:t>l</w:t>
      </w:r>
      <w:r w:rsidR="00DB1C1C" w:rsidRPr="00DB1C1C">
        <w:t>ocal con el fin de otorgar autonomía constitucional al Instituto de Acceso a la Información Pública de Guanajuato</w:t>
      </w:r>
      <w:r w:rsidR="006365C1">
        <w:t>, c</w:t>
      </w:r>
      <w:r w:rsidR="006365C1" w:rsidRPr="006365C1">
        <w:t xml:space="preserve">on el fin de que se consolidara como </w:t>
      </w:r>
      <w:r w:rsidR="000D024C">
        <w:t>un</w:t>
      </w:r>
      <w:r w:rsidR="006365C1" w:rsidRPr="006365C1">
        <w:t xml:space="preserve"> organismo especializado, imparcial y autónomo encargado de asegurar los derechos de acceso a la información y la protección de los datos personales en posesión de cualquier autoridad, entidad, órgano u organismo del Estado y los municipios. Su función sería, por lo tanto, promover, proteger y garantizar de manera integral estos derechos en todos los poderes del Estado, los organismos autónomos y los municipios.</w:t>
      </w:r>
    </w:p>
    <w:p w14:paraId="71BC03FB" w14:textId="70F396BB" w:rsidR="00FA6362" w:rsidRDefault="00FA6362" w:rsidP="00E757D4">
      <w:pPr>
        <w:pStyle w:val="Ttulo2"/>
      </w:pPr>
      <w:bookmarkStart w:id="11" w:name="_Toc189246146"/>
      <w:r>
        <w:t>Dictamen</w:t>
      </w:r>
      <w:bookmarkEnd w:id="11"/>
    </w:p>
    <w:p w14:paraId="4BEA7F7D" w14:textId="4CA2D34A" w:rsidR="00FA6362" w:rsidRDefault="0037651A" w:rsidP="00E757D4">
      <w:r w:rsidRPr="0037651A">
        <w:t xml:space="preserve">El 24 de septiembre de 2013, la Comisión de Gobernación y Puntos Constitucionales emitió </w:t>
      </w:r>
      <w:r>
        <w:t xml:space="preserve">el </w:t>
      </w:r>
      <w:r w:rsidRPr="0037651A">
        <w:t xml:space="preserve">dictamen sobre ambas iniciativas de reforma a diversos artículos de la </w:t>
      </w:r>
      <w:r w:rsidR="00E757D4" w:rsidRPr="00E757D4">
        <w:rPr>
          <w:i/>
        </w:rPr>
        <w:t>Constitución</w:t>
      </w:r>
      <w:r w:rsidR="00FA6362" w:rsidRPr="00E757D4">
        <w:rPr>
          <w:i/>
        </w:rPr>
        <w:t xml:space="preserve"> </w:t>
      </w:r>
      <w:r w:rsidR="00E757D4" w:rsidRPr="00E757D4">
        <w:rPr>
          <w:i/>
        </w:rPr>
        <w:t>Política</w:t>
      </w:r>
      <w:r w:rsidR="00FA6362" w:rsidRPr="00E757D4">
        <w:rPr>
          <w:i/>
        </w:rPr>
        <w:t xml:space="preserve"> p</w:t>
      </w:r>
      <w:r w:rsidR="00E757D4" w:rsidRPr="00E757D4">
        <w:rPr>
          <w:i/>
        </w:rPr>
        <w:t>ar</w:t>
      </w:r>
      <w:r w:rsidR="00FA6362" w:rsidRPr="00E757D4">
        <w:rPr>
          <w:i/>
        </w:rPr>
        <w:t xml:space="preserve">a el </w:t>
      </w:r>
      <w:r w:rsidR="00E757D4" w:rsidRPr="00E757D4">
        <w:rPr>
          <w:i/>
        </w:rPr>
        <w:t>Estado</w:t>
      </w:r>
      <w:r w:rsidR="00FA6362" w:rsidRPr="00E757D4">
        <w:rPr>
          <w:i/>
        </w:rPr>
        <w:t xml:space="preserve"> de </w:t>
      </w:r>
      <w:r w:rsidR="00E757D4" w:rsidRPr="00E757D4">
        <w:rPr>
          <w:i/>
        </w:rPr>
        <w:t>Guanajuato</w:t>
      </w:r>
      <w:r w:rsidR="00FA6362">
        <w:t xml:space="preserve">, en materia de </w:t>
      </w:r>
      <w:r w:rsidR="00E757D4">
        <w:t>tr</w:t>
      </w:r>
      <w:r w:rsidR="00FA6362">
        <w:t>ansparencia</w:t>
      </w:r>
      <w:r w:rsidR="00E757D4">
        <w:t xml:space="preserve"> y</w:t>
      </w:r>
      <w:r w:rsidR="00FA6362">
        <w:t xml:space="preserve"> acceso a l</w:t>
      </w:r>
      <w:r w:rsidR="00E757D4">
        <w:t>a información.</w:t>
      </w:r>
    </w:p>
    <w:p w14:paraId="1E5FD36E" w14:textId="6C0292E2" w:rsidR="00ED06B6" w:rsidRDefault="00E757D4" w:rsidP="00ED06B6">
      <w:r>
        <w:t xml:space="preserve">El dictamen </w:t>
      </w:r>
      <w:r w:rsidR="007B5674">
        <w:t xml:space="preserve">señala la necesidad de la reforma constitucional para </w:t>
      </w:r>
      <w:r w:rsidR="007B5674" w:rsidRPr="007B5674">
        <w:t>transformar un órgano descentralizado en uno autónomo desde el punto de vista constitucional</w:t>
      </w:r>
      <w:r w:rsidR="00ED06B6">
        <w:t xml:space="preserve">, por ello, </w:t>
      </w:r>
      <w:r w:rsidR="007B5674" w:rsidRPr="007B5674">
        <w:t>fundamental</w:t>
      </w:r>
      <w:r w:rsidR="00ED06B6">
        <w:t xml:space="preserve"> y de</w:t>
      </w:r>
      <w:r w:rsidR="007B5674" w:rsidRPr="007B5674">
        <w:t xml:space="preserve"> relevancia </w:t>
      </w:r>
      <w:r w:rsidR="00ED06B6">
        <w:t xml:space="preserve">la reforma propuesta, </w:t>
      </w:r>
      <w:r w:rsidR="00E37AAE">
        <w:t>apoyándose en l</w:t>
      </w:r>
      <w:r w:rsidR="00ED06B6">
        <w:t xml:space="preserve">a experiencia </w:t>
      </w:r>
      <w:r w:rsidR="00E37AAE">
        <w:t>en la materia</w:t>
      </w:r>
      <w:r w:rsidR="00ED06B6">
        <w:t>, s</w:t>
      </w:r>
      <w:r w:rsidR="00E37AAE">
        <w:t>iendo indispensable</w:t>
      </w:r>
      <w:r w:rsidR="00ED06B6">
        <w:t xml:space="preserve"> contar con órganos e instituciones especializadas e imparciales que aseguren que el derecho de acceso a la información. S</w:t>
      </w:r>
      <w:r w:rsidR="00E37AAE">
        <w:t xml:space="preserve">iendo igual de </w:t>
      </w:r>
      <w:r w:rsidR="00ED06B6">
        <w:t>importante fortalecer a los organismos que ya est</w:t>
      </w:r>
      <w:r w:rsidR="00E37AAE">
        <w:t>aban</w:t>
      </w:r>
      <w:r w:rsidR="00ED06B6">
        <w:t xml:space="preserve"> trabajando en favor de la transparencia, ampliando y aumentando sus competencias, de modo que dispongan de los recursos y herramientas necesarias para superar los obstáculos y resistencias que actualmente limitan el ejercicio del derecho a la información.</w:t>
      </w:r>
    </w:p>
    <w:p w14:paraId="39C9C610" w14:textId="244E7041" w:rsidR="00E37AAE" w:rsidRDefault="006F004C" w:rsidP="00ED06B6">
      <w:r>
        <w:t>L</w:t>
      </w:r>
      <w:r w:rsidRPr="006F004C">
        <w:t xml:space="preserve">a Comisión de Gobernación y Puntos Constitucionales </w:t>
      </w:r>
      <w:r>
        <w:t>(2013)</w:t>
      </w:r>
      <w:r w:rsidR="00E37AAE">
        <w:t xml:space="preserve"> </w:t>
      </w:r>
      <w:r>
        <w:t xml:space="preserve">aprobó </w:t>
      </w:r>
      <w:r w:rsidR="00E37AAE">
        <w:t xml:space="preserve">el </w:t>
      </w:r>
      <w:r>
        <w:t>decreto con el rubro:</w:t>
      </w:r>
    </w:p>
    <w:p w14:paraId="78CD1083" w14:textId="761CEF9E" w:rsidR="00E37AAE" w:rsidRDefault="00E37AAE" w:rsidP="006F004C">
      <w:pPr>
        <w:ind w:left="567"/>
      </w:pPr>
      <w:r>
        <w:lastRenderedPageBreak/>
        <w:t>Artículo Único. Se reforman los artículos 14, para conformarlo con los apartados A y B: y 77, fracción XXV, reubicándose el contenido de la actual fracci6n XXV, como XXVI; y se adicionan los artículos 63, fracción XXI, con un párrafo décimo: y 89, fracción XV, apartado B, con un párrafo segundo, recorriéndose los actuales párrafos segundo, tercero y cuarto, para ubicarse como párrafos tercero, cuarto y quinto, de la Constitu</w:t>
      </w:r>
      <w:r w:rsidR="006F004C">
        <w:t>ció</w:t>
      </w:r>
      <w:r>
        <w:t xml:space="preserve">n </w:t>
      </w:r>
      <w:r w:rsidR="006F004C">
        <w:t>Política</w:t>
      </w:r>
      <w:r>
        <w:t xml:space="preserve"> para el Estado</w:t>
      </w:r>
      <w:r w:rsidR="006F004C">
        <w:t xml:space="preserve"> </w:t>
      </w:r>
      <w:r>
        <w:t>de Guanajuato</w:t>
      </w:r>
      <w:r w:rsidR="006F004C">
        <w:t>.</w:t>
      </w:r>
    </w:p>
    <w:p w14:paraId="5D3EDD2E" w14:textId="5103C60F" w:rsidR="00ED06B6" w:rsidRDefault="000D3EED" w:rsidP="000D3EED">
      <w:r>
        <w:t xml:space="preserve">Las reformas se contemplaron en el </w:t>
      </w:r>
      <w:r w:rsidR="00FC5DF6" w:rsidRPr="00FC5DF6">
        <w:rPr>
          <w:i/>
        </w:rPr>
        <w:t xml:space="preserve">Decreto Número </w:t>
      </w:r>
      <w:r w:rsidRPr="00FC5DF6">
        <w:rPr>
          <w:i/>
        </w:rPr>
        <w:t>100, expedido por la Sexagésima Segunda Legislatura Constitucional del Estado Libre y Soberano de Guanajuato, mediante el cual, se reforman y adicionan diversos Artículos de la Constitución Política para el Estado de Guanajuato</w:t>
      </w:r>
      <w:r w:rsidR="00FC5DF6">
        <w:rPr>
          <w:i/>
        </w:rPr>
        <w:t>,</w:t>
      </w:r>
      <w:r>
        <w:t xml:space="preserve"> </w:t>
      </w:r>
      <w:r w:rsidR="00B97CBB">
        <w:t>publica</w:t>
      </w:r>
      <w:r w:rsidR="00FC5DF6">
        <w:t>do</w:t>
      </w:r>
      <w:r w:rsidR="00B97CBB">
        <w:t xml:space="preserve"> en el </w:t>
      </w:r>
      <w:r w:rsidR="00B97CBB" w:rsidRPr="00FC5DF6">
        <w:rPr>
          <w:i/>
        </w:rPr>
        <w:t>Periódico Oficial del Gobierno del Estado de Guanajuato</w:t>
      </w:r>
      <w:r w:rsidR="00FC5DF6">
        <w:t>,</w:t>
      </w:r>
      <w:r w:rsidR="00B97CBB">
        <w:t xml:space="preserve"> número</w:t>
      </w:r>
      <w:r>
        <w:t>195 Tercera Parte</w:t>
      </w:r>
      <w:r w:rsidR="00B97CBB">
        <w:t xml:space="preserve"> </w:t>
      </w:r>
      <w:r w:rsidR="00441938">
        <w:t xml:space="preserve">del </w:t>
      </w:r>
      <w:r w:rsidR="00441938" w:rsidRPr="00441938">
        <w:t>6 de diciembre de 201</w:t>
      </w:r>
      <w:r w:rsidR="00441938">
        <w:t>3</w:t>
      </w:r>
    </w:p>
    <w:p w14:paraId="50D8F39C" w14:textId="77777777" w:rsidR="002D3406" w:rsidRDefault="002D3406" w:rsidP="002D3406"/>
    <w:p w14:paraId="35278DC4" w14:textId="77777777" w:rsidR="00AC1671" w:rsidRPr="00A3531D" w:rsidRDefault="00AC1671" w:rsidP="00AC1671">
      <w:pPr>
        <w:pStyle w:val="Ttulo2"/>
      </w:pPr>
      <w:bookmarkStart w:id="12" w:name="_Toc189246147"/>
      <w:r w:rsidRPr="00A3531D">
        <w:t>Iniciativa de Ley de Acceso a la Información Pública del Estado y los Municipios de Guanajuato (Ley de Claridad) y la Procuraduría de la Información Pública</w:t>
      </w:r>
      <w:bookmarkEnd w:id="12"/>
    </w:p>
    <w:p w14:paraId="19C8115C" w14:textId="744AD452" w:rsidR="006E737E" w:rsidRDefault="006E737E" w:rsidP="006E737E">
      <w:r>
        <w:t xml:space="preserve">El 2 de mayo de 2013, ingresó a la Presidencia del Congreso del Estado de Guanajuato, iniciativa de </w:t>
      </w:r>
      <w:r w:rsidRPr="00395389">
        <w:rPr>
          <w:i/>
        </w:rPr>
        <w:t xml:space="preserve">Ley de Transparencia y Acceso a </w:t>
      </w:r>
      <w:r w:rsidR="00DE12CF" w:rsidRPr="00395389">
        <w:rPr>
          <w:i/>
        </w:rPr>
        <w:t>la Información</w:t>
      </w:r>
      <w:r w:rsidRPr="00395389">
        <w:rPr>
          <w:i/>
        </w:rPr>
        <w:t xml:space="preserve"> Pública para el Estado y los Municipios de Guanajuato</w:t>
      </w:r>
      <w:r>
        <w:t xml:space="preserve">, </w:t>
      </w:r>
      <w:r w:rsidR="00D91A43" w:rsidRPr="00D91A43">
        <w:t xml:space="preserve">formulada por el </w:t>
      </w:r>
      <w:r w:rsidR="00FE228F">
        <w:t>t</w:t>
      </w:r>
      <w:r w:rsidR="00D91A43" w:rsidRPr="00D91A43">
        <w:t>itular del Poder Ejecutivo de</w:t>
      </w:r>
      <w:r w:rsidR="00D91A43">
        <w:t xml:space="preserve">l </w:t>
      </w:r>
      <w:r w:rsidR="00D91A43" w:rsidRPr="00D91A43">
        <w:t>Estado,</w:t>
      </w:r>
      <w:r>
        <w:t xml:space="preserve"> turnándose por la Presidencia a la Comisión de Gobernación y Puntos Constitucionales.</w:t>
      </w:r>
    </w:p>
    <w:p w14:paraId="7B2DFD1D" w14:textId="77777777" w:rsidR="00F00C6A" w:rsidRDefault="00F00C6A" w:rsidP="00DD797B">
      <w:bookmarkStart w:id="13" w:name="_Hlk189125563"/>
      <w:r w:rsidRPr="00F00C6A">
        <w:t>La iniciativa señalaba en su exposición de motivos que su finalidad era conceder autonomía constitucional al Instituto de Acceso a la Información para el Estado de Guanajuato, destacando la necesidad de que el IACIP contara con una normativa que respaldara dicha condición.</w:t>
      </w:r>
    </w:p>
    <w:p w14:paraId="2535F55A" w14:textId="36375EAF" w:rsidR="00F00C6A" w:rsidRDefault="00F00C6A" w:rsidP="00DD797B">
      <w:r w:rsidRPr="00F00C6A">
        <w:t xml:space="preserve">A través de la iniciativa, el Poder Ejecutivo buscaba garantizar el derecho a la información pública con transparencia y acceso efectivo. Para ello, se propuso la creación de una ley que otorgara al IACIP autonomía en su operación, gestión y </w:t>
      </w:r>
      <w:r w:rsidRPr="00F00C6A">
        <w:lastRenderedPageBreak/>
        <w:t>toma de decisiones, asegurando el cumplimiento de la normativa y la resolución de procedimientos contenciosos.</w:t>
      </w:r>
    </w:p>
    <w:p w14:paraId="46B2D482" w14:textId="408FFFF0" w:rsidR="00CD0A50" w:rsidRDefault="00CD0A50" w:rsidP="00DD797B">
      <w:r w:rsidRPr="00CD0A50">
        <w:t>La iniciativa se estructuraba en dos secciones: estructura orgánica y ajustes normativos. En la primera, se planteaba mejorar el funcionamiento del IACIP mediante la separación de atribuciones entre el Consejo General y el Secretario Ejecutivo, permitiendo que los consejeros se enfocaran en la resolución de recursos de acceso a la información de manera eficiente. Asimismo, se incorporaba la Secretaría General de Acuerdos y la Actuaria, fortaleciendo la certeza jurídica en las decisiones del instituto.</w:t>
      </w:r>
    </w:p>
    <w:p w14:paraId="4E784F0A" w14:textId="421A7198" w:rsidR="005C5210" w:rsidRDefault="004D4F93" w:rsidP="00DD797B">
      <w:r>
        <w:t xml:space="preserve">Además de </w:t>
      </w:r>
      <w:r w:rsidRPr="004D4F93">
        <w:t>introduc</w:t>
      </w:r>
      <w:r>
        <w:t>ir</w:t>
      </w:r>
      <w:r w:rsidRPr="004D4F93">
        <w:t xml:space="preserve"> la supletoriedad en notificación y pruebas, remitiéndose al </w:t>
      </w:r>
      <w:r w:rsidRPr="004D4F93">
        <w:rPr>
          <w:i/>
        </w:rPr>
        <w:t>Código de Procedimiento y Justicia Administrativa</w:t>
      </w:r>
      <w:r w:rsidRPr="004D4F93">
        <w:t>. En</w:t>
      </w:r>
      <w:r w:rsidR="00C563AE">
        <w:t xml:space="preserve"> congruencia</w:t>
      </w:r>
      <w:r w:rsidRPr="004D4F93">
        <w:t xml:space="preserve"> con la reforma constitucional, se </w:t>
      </w:r>
      <w:r w:rsidR="00C563AE">
        <w:t xml:space="preserve">proponía </w:t>
      </w:r>
      <w:r w:rsidRPr="004D4F93">
        <w:t>ref</w:t>
      </w:r>
      <w:r w:rsidR="00C563AE">
        <w:t>orzar</w:t>
      </w:r>
      <w:r w:rsidRPr="004D4F93">
        <w:t xml:space="preserve"> los principios de autonomía, certeza, eficacia, imparcialidad, legalidad, objetividad, máxima publicidad y transparencia. El resto de la iniciativa sigue el esquema de la Ley de Transparencia y Acceso a la Información Pública, simplificando algunas redacciones e incorporando el epígrafe del texto normativo.</w:t>
      </w:r>
    </w:p>
    <w:p w14:paraId="476328A0" w14:textId="4BD83FF5" w:rsidR="00CD0A50" w:rsidRDefault="00CD0A50" w:rsidP="00CD0A50">
      <w:r>
        <w:t xml:space="preserve">En cuanto a los ajustes normativos, </w:t>
      </w:r>
      <w:r w:rsidRPr="00CD0A50">
        <w:t xml:space="preserve">destacaban </w:t>
      </w:r>
      <w:r w:rsidR="00E54AC6">
        <w:t>cuatro</w:t>
      </w:r>
      <w:r w:rsidRPr="00CD0A50">
        <w:t xml:space="preserve"> cambios principales</w:t>
      </w:r>
      <w:r>
        <w:t>:</w:t>
      </w:r>
    </w:p>
    <w:p w14:paraId="0A40CDA5" w14:textId="565729AA" w:rsidR="00CD0A50" w:rsidRDefault="00CD0A50" w:rsidP="00CD0A50">
      <w:r>
        <w:t>1. Cambio en la fecha del informe anual del Consejero Presidente para alinearla con la de otros organismos.</w:t>
      </w:r>
    </w:p>
    <w:p w14:paraId="731DE990" w14:textId="59C8115C" w:rsidR="00CD0A50" w:rsidRDefault="00E54AC6" w:rsidP="00CD0A50">
      <w:r>
        <w:t>2. Fortalecimiento</w:t>
      </w:r>
      <w:r w:rsidR="00CD0A50">
        <w:t xml:space="preserve"> de los principios fundamentales como autonomía, certeza, eficacia, imparcialidad y transparencia.</w:t>
      </w:r>
    </w:p>
    <w:p w14:paraId="5D96231C" w14:textId="48D28D77" w:rsidR="00CD0A50" w:rsidRDefault="00E54AC6" w:rsidP="00CD0A50">
      <w:r>
        <w:t>3.</w:t>
      </w:r>
      <w:r w:rsidR="00CD0A50">
        <w:t xml:space="preserve"> Reestructuración normativa para hacerla más clara y accesible</w:t>
      </w:r>
      <w:r>
        <w:t xml:space="preserve"> para los ciudadanos</w:t>
      </w:r>
      <w:r w:rsidR="00CD0A50">
        <w:t>, facilitando la rendición de cuentas y fortaleciendo la democracia.</w:t>
      </w:r>
    </w:p>
    <w:p w14:paraId="20707E61" w14:textId="77777777" w:rsidR="007E409C" w:rsidRDefault="00E54AC6" w:rsidP="00CD0A50">
      <w:r>
        <w:t>4. In</w:t>
      </w:r>
      <w:r w:rsidR="00CD0A50">
        <w:t>corpora</w:t>
      </w:r>
      <w:r>
        <w:t>ción de</w:t>
      </w:r>
      <w:r w:rsidR="00CD0A50">
        <w:t xml:space="preserve"> la supletoriedad en notificación y pruebas, remitiéndose al </w:t>
      </w:r>
      <w:r w:rsidR="00CD0A50" w:rsidRPr="007E409C">
        <w:rPr>
          <w:i/>
        </w:rPr>
        <w:t>Código de Procedimiento y Justicia Administrativa</w:t>
      </w:r>
      <w:r w:rsidR="00CD0A50">
        <w:t xml:space="preserve">. </w:t>
      </w:r>
    </w:p>
    <w:p w14:paraId="7BA387E7" w14:textId="6E35C918" w:rsidR="00CD0A50" w:rsidRDefault="00CD0A50" w:rsidP="00CD0A50">
      <w:r>
        <w:t xml:space="preserve">En congruencia con la reforma constitucional, se reforzaban los principios de legalidad, objetividad, máxima publicidad y transparencia. Finalmente, la iniciativa mantenía la estructura de la </w:t>
      </w:r>
      <w:r w:rsidRPr="007E409C">
        <w:rPr>
          <w:i/>
        </w:rPr>
        <w:t xml:space="preserve">Ley de Transparencia y Acceso a la Información </w:t>
      </w:r>
      <w:r w:rsidRPr="007E409C">
        <w:rPr>
          <w:i/>
        </w:rPr>
        <w:lastRenderedPageBreak/>
        <w:t>Pública,</w:t>
      </w:r>
      <w:r>
        <w:t xml:space="preserve"> optimizando su redacción e integrando un epígrafe normativo para mayor claridad.</w:t>
      </w:r>
    </w:p>
    <w:p w14:paraId="62B1F2A0" w14:textId="77777777" w:rsidR="005C5210" w:rsidRPr="008D6DAF" w:rsidRDefault="005C5210" w:rsidP="003561FC">
      <w:pPr>
        <w:pStyle w:val="Ttulo2"/>
      </w:pPr>
      <w:bookmarkStart w:id="14" w:name="_Toc189246148"/>
      <w:bookmarkEnd w:id="13"/>
      <w:r w:rsidRPr="008D6DAF">
        <w:t>Dictamen</w:t>
      </w:r>
      <w:bookmarkEnd w:id="14"/>
    </w:p>
    <w:p w14:paraId="3A109945" w14:textId="77777777" w:rsidR="00643CF8" w:rsidRDefault="005C5210" w:rsidP="00C81310">
      <w:r>
        <w:t>El 24 de septiembre de 2013 la Comisión de Gobernación y Puntos Constitucionales emitió el dictamen de la iniciativa de</w:t>
      </w:r>
      <w:r w:rsidRPr="00B92C5D">
        <w:t xml:space="preserve"> </w:t>
      </w:r>
      <w:r w:rsidRPr="00B92C5D">
        <w:rPr>
          <w:i/>
        </w:rPr>
        <w:t xml:space="preserve">Ley de Acceso a la Información Pública para el Estado y los Municipios </w:t>
      </w:r>
      <w:r>
        <w:rPr>
          <w:i/>
        </w:rPr>
        <w:t>d</w:t>
      </w:r>
      <w:r w:rsidRPr="00B92C5D">
        <w:rPr>
          <w:i/>
        </w:rPr>
        <w:t>e Guanajuato</w:t>
      </w:r>
      <w:r>
        <w:rPr>
          <w:i/>
        </w:rPr>
        <w:t>,</w:t>
      </w:r>
      <w:r>
        <w:t xml:space="preserve"> </w:t>
      </w:r>
      <w:r w:rsidR="000D1572">
        <w:t>mencionando</w:t>
      </w:r>
      <w:r w:rsidR="007E1D27">
        <w:t>.</w:t>
      </w:r>
      <w:r w:rsidR="000D1572">
        <w:t xml:space="preserve"> </w:t>
      </w:r>
      <w:r w:rsidR="00643CF8" w:rsidRPr="00643CF8">
        <w:t>El análisis de la iniciativa indica que, en alineación con las reformas a la Constitución Política del Estado de Guanajuato, cuyo objetivo es dotar de autonomía constitucional al IACIP, es fundamental que este organismo cuente con una legislación que avale dicha condición. Asimismo, se plantea el fortalecimiento de los mecanismos que aseguren el cumplimiento de la normativa y la protección de los derechos humanos, incluyendo el principio de legalidad. Además, se busca estandarizar no solo la información, sino también sus canales, procedimientos y rutas, tanto en el ámbito jurídico como tecnológico, lo que permitirá garantizar la confidencialidad de la información.</w:t>
      </w:r>
    </w:p>
    <w:p w14:paraId="408F5C22" w14:textId="3FAD6894" w:rsidR="00EE2C8D" w:rsidRDefault="004C11D4" w:rsidP="00C81310">
      <w:r w:rsidRPr="004C11D4">
        <w:t xml:space="preserve">Cabe destacar que la Comisión </w:t>
      </w:r>
      <w:r>
        <w:t xml:space="preserve">de </w:t>
      </w:r>
      <w:r w:rsidR="00E60868">
        <w:t xml:space="preserve">Gobernación y Puntos Constitucionales </w:t>
      </w:r>
      <w:r w:rsidRPr="004C11D4">
        <w:t>efectuó varias modificaciones a la iniciativa, tanto en su forma como en su contenido, sobresaliendo la eliminación del cargo de Secretario Ejecutivo</w:t>
      </w:r>
      <w:r w:rsidR="00E60868">
        <w:t>, con el fin de</w:t>
      </w:r>
      <w:r w:rsidRPr="004C11D4">
        <w:t xml:space="preserve"> adaptar los cambios derivados de la integración del Consejo General, priorizando el principio de austeridad y optimizando los recursos del organismo para mejorar su funcionamiento y asegurar una ejecución eficiente de sus atribuciones. En este contexto, las atribuciones que inicialmente se asignaron al Secretario Ejecutivo ahora </w:t>
      </w:r>
      <w:r w:rsidR="003561FC">
        <w:t>se le conferían a</w:t>
      </w:r>
      <w:r w:rsidRPr="004C11D4">
        <w:t>l Consejero Presidente, quien también tendr</w:t>
      </w:r>
      <w:r w:rsidR="003561FC">
        <w:t>ía</w:t>
      </w:r>
      <w:r w:rsidRPr="004C11D4">
        <w:t xml:space="preserve"> el voto </w:t>
      </w:r>
      <w:r w:rsidR="00E60868">
        <w:t>dirimente</w:t>
      </w:r>
      <w:r w:rsidRPr="004C11D4">
        <w:t>.</w:t>
      </w:r>
    </w:p>
    <w:p w14:paraId="34C52B29" w14:textId="62530E37" w:rsidR="00B102C0" w:rsidRPr="004C08EA" w:rsidRDefault="00B102C0" w:rsidP="004C5DF4">
      <w:pPr>
        <w:pStyle w:val="Ttulo1"/>
      </w:pPr>
      <w:bookmarkStart w:id="15" w:name="_Toc189246149"/>
      <w:r w:rsidRPr="004C08EA">
        <w:t xml:space="preserve">Publicación de la </w:t>
      </w:r>
      <w:r>
        <w:t>Ley de Transparencia y Acceso a la Información Pública para el Estado y los Municipios de Guanajuato</w:t>
      </w:r>
      <w:bookmarkEnd w:id="15"/>
    </w:p>
    <w:p w14:paraId="0B15963F" w14:textId="760E6D54" w:rsidR="00B102C0" w:rsidRDefault="00B102C0" w:rsidP="00190728">
      <w:r>
        <w:t>El</w:t>
      </w:r>
      <w:r w:rsidRPr="00160CA4">
        <w:t xml:space="preserve"> </w:t>
      </w:r>
      <w:r w:rsidRPr="00B102C0">
        <w:t>18 de octubre del 2013</w:t>
      </w:r>
      <w:r>
        <w:t xml:space="preserve"> se publicó en el </w:t>
      </w:r>
      <w:r w:rsidRPr="00160CA4">
        <w:rPr>
          <w:i/>
        </w:rPr>
        <w:t>Periódico Oficial del Gobierno de Estado de Guanajuato</w:t>
      </w:r>
      <w:r>
        <w:t xml:space="preserve">, número </w:t>
      </w:r>
      <w:r w:rsidR="00190728">
        <w:t>167</w:t>
      </w:r>
      <w:r>
        <w:t xml:space="preserve">, </w:t>
      </w:r>
      <w:r w:rsidR="00190728">
        <w:t>Tercera</w:t>
      </w:r>
      <w:r>
        <w:t xml:space="preserve"> Parte, la</w:t>
      </w:r>
      <w:r w:rsidR="00190728">
        <w:t xml:space="preserve"> nueva </w:t>
      </w:r>
      <w:r w:rsidR="00190728" w:rsidRPr="00190728">
        <w:rPr>
          <w:i/>
        </w:rPr>
        <w:t>Ley de Transparencia y Acceso a la Información Pública para el Estado</w:t>
      </w:r>
      <w:r w:rsidR="00190728">
        <w:rPr>
          <w:i/>
        </w:rPr>
        <w:t xml:space="preserve"> </w:t>
      </w:r>
      <w:r w:rsidR="00190728" w:rsidRPr="00190728">
        <w:rPr>
          <w:i/>
        </w:rPr>
        <w:t>y los Municipios de Guanajuato</w:t>
      </w:r>
      <w:r>
        <w:rPr>
          <w:i/>
        </w:rPr>
        <w:t xml:space="preserve">. </w:t>
      </w:r>
      <w:r>
        <w:t xml:space="preserve">El </w:t>
      </w:r>
      <w:r>
        <w:lastRenderedPageBreak/>
        <w:t>artículo 2</w:t>
      </w:r>
      <w:r w:rsidR="00AA5975">
        <w:t>3</w:t>
      </w:r>
      <w:r>
        <w:t xml:space="preserve"> (Congreso del Estado de Guanajuato, 20</w:t>
      </w:r>
      <w:r w:rsidR="00AA5975">
        <w:t>13</w:t>
      </w:r>
      <w:r>
        <w:t xml:space="preserve">), </w:t>
      </w:r>
      <w:r w:rsidR="00AA5975">
        <w:t>contemplaba</w:t>
      </w:r>
      <w:r>
        <w:t xml:space="preserve"> la naturaleza</w:t>
      </w:r>
      <w:r w:rsidR="00AA5975">
        <w:t xml:space="preserve"> </w:t>
      </w:r>
      <w:r>
        <w:t>del IACIP:</w:t>
      </w:r>
    </w:p>
    <w:p w14:paraId="22851C77" w14:textId="7587BAF2" w:rsidR="00233C50" w:rsidRDefault="00233C50" w:rsidP="00233C50">
      <w:pPr>
        <w:ind w:left="567"/>
      </w:pPr>
      <w:r>
        <w:t xml:space="preserve">Artículo 23. El Instituto es un organismo autónomo, con personalidad jurídica y patrimonio propio, en los términos de la Constitución Política para el Estado de Guanajuato. </w:t>
      </w:r>
    </w:p>
    <w:p w14:paraId="731BD0F2" w14:textId="639519E6" w:rsidR="00233C50" w:rsidRDefault="00233C50" w:rsidP="00233C50">
      <w:pPr>
        <w:ind w:left="567"/>
      </w:pPr>
      <w:r>
        <w:t xml:space="preserve">El Consejo General es el órgano superior de dirección del Instituto, su domicilio estará ubicado en la ciudad de León, </w:t>
      </w:r>
      <w:proofErr w:type="spellStart"/>
      <w:r>
        <w:t>Gto</w:t>
      </w:r>
      <w:proofErr w:type="spellEnd"/>
      <w:r>
        <w:t>. (p.16)</w:t>
      </w:r>
    </w:p>
    <w:p w14:paraId="781A6EBD" w14:textId="7DA1214D" w:rsidR="000A4849" w:rsidRDefault="00FC5DF6" w:rsidP="00AA5975">
      <w:pPr>
        <w:pStyle w:val="Ttulo1"/>
      </w:pPr>
      <w:bookmarkStart w:id="16" w:name="_Toc189246150"/>
      <w:r>
        <w:t>Conclusiones</w:t>
      </w:r>
      <w:bookmarkEnd w:id="16"/>
    </w:p>
    <w:p w14:paraId="26130064" w14:textId="77777777" w:rsidR="00AA5975" w:rsidRDefault="00AA5975" w:rsidP="00AA5975">
      <w:r>
        <w:t>La evolución del derecho a la información en México ha sido un proceso complejo y progresivo, reflejando un compromiso creciente hacia la transparencia y el acceso público a la información. Los antecedentes de este derecho en el país revelan la importancia de su establecimiento en el marco legal, desde los primeros avances en la legislación federal hasta la creación de instituciones clave como el Instituto Federal de Acceso a la Información (IFAI), que marcó un hito en la protección y promoción de los derechos de acceso a la información.</w:t>
      </w:r>
    </w:p>
    <w:p w14:paraId="4202BDF7" w14:textId="77777777" w:rsidR="00AA5975" w:rsidRDefault="00AA5975" w:rsidP="00AA5975">
      <w:r>
        <w:t xml:space="preserve">Evolución similar ha acontecido en Guanajuato, desde la promulgación de la </w:t>
      </w:r>
      <w:r w:rsidRPr="00233C50">
        <w:rPr>
          <w:i/>
        </w:rPr>
        <w:t>Ley de Acceso a la Información Pública para el Estado y los Municipios de Guanajuato</w:t>
      </w:r>
      <w:r>
        <w:t xml:space="preserve">, que constituyó un avance significativo en la progresión del derecho a la información, brindando a los ciudadanos del estado los mecanismos necesarios para acceder a la información pública. </w:t>
      </w:r>
    </w:p>
    <w:p w14:paraId="4069D8F4" w14:textId="16886481" w:rsidR="00AA5975" w:rsidRDefault="00AA5975" w:rsidP="00FD3E90">
      <w:r>
        <w:t xml:space="preserve">Sin duda alguna, la creación (en primera instancia) y consolidación del </w:t>
      </w:r>
      <w:r w:rsidR="00361E31" w:rsidRPr="00361E31">
        <w:t>al Instituto de Acceso a la Información Pública para el Estado de Guanajuato</w:t>
      </w:r>
      <w:r w:rsidR="00FD3E90">
        <w:t xml:space="preserve"> (en segunda)</w:t>
      </w:r>
      <w:r w:rsidR="00361E31">
        <w:t>, ha sido un pilar fundamental</w:t>
      </w:r>
      <w:r w:rsidR="00FD3E90">
        <w:t xml:space="preserve"> para el materializar el derecho humano a la información, consagrado en el artículo 6o de la </w:t>
      </w:r>
      <w:r w:rsidR="00FD3E90" w:rsidRPr="00FD3E90">
        <w:t>Constitución Política de los Estados Unidos Mexicanos</w:t>
      </w:r>
      <w:r w:rsidR="00361E31">
        <w:t xml:space="preserve">, al contar con </w:t>
      </w:r>
      <w:r>
        <w:t xml:space="preserve">una instancia </w:t>
      </w:r>
      <w:r w:rsidR="00FD3E90">
        <w:t xml:space="preserve">garante </w:t>
      </w:r>
      <w:r>
        <w:t>de la protección y promoción de este derecho a nivel estatal.</w:t>
      </w:r>
    </w:p>
    <w:p w14:paraId="2EC6785C" w14:textId="10CD7D47" w:rsidR="00AA5975" w:rsidRDefault="00FD3E90" w:rsidP="00AA5975">
      <w:r>
        <w:t>Las diversas iniciativas y reformas realizadas a</w:t>
      </w:r>
      <w:r w:rsidR="00AA5975">
        <w:t xml:space="preserve"> nivel estatal, refleja un esfuerzo </w:t>
      </w:r>
      <w:r>
        <w:t>colaborativo entre poderes para</w:t>
      </w:r>
      <w:r w:rsidR="00AA5975">
        <w:t xml:space="preserve"> fortalecer la transparencia en la gestión pública, ampliando los marcos de responsabilidad y acceso a la información en beneficio de </w:t>
      </w:r>
      <w:r w:rsidR="00AA5975">
        <w:lastRenderedPageBreak/>
        <w:t>los ciudadanos</w:t>
      </w:r>
      <w:r>
        <w:t xml:space="preserve">, </w:t>
      </w:r>
      <w:r w:rsidR="00AA5975">
        <w:t>complementa</w:t>
      </w:r>
      <w:r>
        <w:t>ndo</w:t>
      </w:r>
      <w:r w:rsidR="00AA5975">
        <w:t xml:space="preserve"> </w:t>
      </w:r>
      <w:r>
        <w:t>las</w:t>
      </w:r>
      <w:r w:rsidR="00AA5975">
        <w:t xml:space="preserve"> reformas </w:t>
      </w:r>
      <w:r>
        <w:t xml:space="preserve">de la </w:t>
      </w:r>
      <w:r w:rsidR="00AA5975">
        <w:t>constituci</w:t>
      </w:r>
      <w:r>
        <w:t xml:space="preserve">ón federal, para </w:t>
      </w:r>
      <w:r w:rsidR="00AA5975">
        <w:t>garantizar la autonomía y eficacia de los órganos encargados de la transparencia, como el I</w:t>
      </w:r>
      <w:r>
        <w:t>ACIP</w:t>
      </w:r>
      <w:r w:rsidR="00AA5975">
        <w:t>, que juega un papel fundamental en la implementación de políticas de acceso a la información en la entidad.</w:t>
      </w:r>
    </w:p>
    <w:p w14:paraId="29877F89" w14:textId="1F0BA054" w:rsidR="00AA5975" w:rsidRDefault="00FD3E90" w:rsidP="00AA5975">
      <w:r>
        <w:t xml:space="preserve">Si bien </w:t>
      </w:r>
      <w:r w:rsidR="00AA5975">
        <w:t xml:space="preserve">los avances </w:t>
      </w:r>
      <w:r>
        <w:t>normativos en materia de</w:t>
      </w:r>
      <w:r w:rsidR="00AA5975">
        <w:t xml:space="preserve"> transparencia y acceso a la información, tanto a nivel federal como estatal, subrayan el papel fundamental que juega este derecho en el fortalecimiento de las instituciones democráticas y en la creación de un gobierno más transparente y responsable ante la ciudadanía. La consolidación de estos mecanismos y su aplicación efectiva sigue siendo un reto, pero también una oportunidad para avanzar en la protección de los derechos fundamentales de los ciudadanos.</w:t>
      </w:r>
      <w:r w:rsidR="00AA5975">
        <w:tab/>
      </w:r>
    </w:p>
    <w:p w14:paraId="1C128A70" w14:textId="77777777" w:rsidR="004C5DF4" w:rsidRPr="00AA5975" w:rsidRDefault="004C5DF4" w:rsidP="00AA5975"/>
    <w:bookmarkStart w:id="17" w:name="_Toc189246151" w:displacedByCustomXml="next"/>
    <w:sdt>
      <w:sdtPr>
        <w:rPr>
          <w:rFonts w:ascii="Arial" w:eastAsiaTheme="minorHAnsi" w:hAnsi="Arial" w:cstheme="minorBidi"/>
          <w:b w:val="0"/>
          <w:caps w:val="0"/>
          <w:szCs w:val="22"/>
          <w:lang w:val="es-ES"/>
        </w:rPr>
        <w:id w:val="-1498334311"/>
        <w:docPartObj>
          <w:docPartGallery w:val="Bibliographies"/>
          <w:docPartUnique/>
        </w:docPartObj>
      </w:sdtPr>
      <w:sdtEndPr>
        <w:rPr>
          <w:lang w:val="es-MX"/>
        </w:rPr>
      </w:sdtEndPr>
      <w:sdtContent>
        <w:p w14:paraId="1996D34B" w14:textId="09AD2B0C" w:rsidR="000A4849" w:rsidRDefault="000A4849">
          <w:pPr>
            <w:pStyle w:val="Ttulo1"/>
          </w:pPr>
          <w:r>
            <w:rPr>
              <w:lang w:val="es-ES"/>
            </w:rPr>
            <w:t>Bibliografía</w:t>
          </w:r>
          <w:bookmarkEnd w:id="17"/>
        </w:p>
        <w:sdt>
          <w:sdtPr>
            <w:id w:val="111145805"/>
            <w:bibliography/>
          </w:sdtPr>
          <w:sdtEndPr/>
          <w:sdtContent>
            <w:p w14:paraId="15014EB9" w14:textId="77777777" w:rsidR="00E23A31" w:rsidRDefault="000A4849" w:rsidP="00E23A31">
              <w:pPr>
                <w:pStyle w:val="Bibliografa"/>
                <w:ind w:left="720" w:hanging="720"/>
                <w:rPr>
                  <w:noProof/>
                  <w:szCs w:val="24"/>
                  <w:lang w:val="es-ES"/>
                </w:rPr>
              </w:pPr>
              <w:r>
                <w:fldChar w:fldCharType="begin"/>
              </w:r>
              <w:r>
                <w:instrText>BIBLIOGRAPHY</w:instrText>
              </w:r>
              <w:r>
                <w:fldChar w:fldCharType="separate"/>
              </w:r>
              <w:r w:rsidR="00E23A31">
                <w:rPr>
                  <w:noProof/>
                  <w:lang w:val="es-ES"/>
                </w:rPr>
                <w:t xml:space="preserve">Congreso de la Unión. (11 de junio de 2002). Ley Federal de Transparencia y acceso a la Información Pública Gubernamental. </w:t>
              </w:r>
              <w:r w:rsidR="00E23A31">
                <w:rPr>
                  <w:i/>
                  <w:iCs/>
                  <w:noProof/>
                  <w:lang w:val="es-ES"/>
                </w:rPr>
                <w:t>Diario Oficial de la Federación</w:t>
              </w:r>
              <w:r w:rsidR="00E23A31">
                <w:rPr>
                  <w:noProof/>
                  <w:lang w:val="es-ES"/>
                </w:rPr>
                <w:t>, págs. 2- 15. Retrieved 31 de enero de 2025, from https://www.dof.gob.mx/nota_detalle.php?codigo=727870&amp;fecha=11/06/2002#gsc.tab=0</w:t>
              </w:r>
            </w:p>
            <w:p w14:paraId="6E35C8D3" w14:textId="77777777" w:rsidR="00E23A31" w:rsidRDefault="00E23A31" w:rsidP="00E23A31">
              <w:pPr>
                <w:pStyle w:val="Bibliografa"/>
                <w:ind w:left="720" w:hanging="720"/>
                <w:rPr>
                  <w:noProof/>
                  <w:lang w:val="es-ES"/>
                </w:rPr>
              </w:pPr>
              <w:r>
                <w:rPr>
                  <w:noProof/>
                  <w:lang w:val="es-ES"/>
                </w:rPr>
                <w:t xml:space="preserve">Congreso de la Unión. (20 de julio de 2007). Decreto por el que se adiciona un segundo párrafo con siete fracciones al artículo 6o, de la Constitución Política de los Estados Unidos Mexicanos. </w:t>
              </w:r>
              <w:r>
                <w:rPr>
                  <w:i/>
                  <w:iCs/>
                  <w:noProof/>
                  <w:lang w:val="es-ES"/>
                </w:rPr>
                <w:t>Diario Oficial de la Federación, DCXLVI</w:t>
              </w:r>
              <w:r>
                <w:rPr>
                  <w:noProof/>
                  <w:lang w:val="es-ES"/>
                </w:rPr>
                <w:t>(16), págs. 2- 3. Retrieved 31 de enero de 2025, from file:///D:/Users/jodvelazquez/Downloads/20072007-MAT.pdf</w:t>
              </w:r>
            </w:p>
            <w:p w14:paraId="20663AA5" w14:textId="77777777" w:rsidR="00E23A31" w:rsidRDefault="00E23A31" w:rsidP="00E23A31">
              <w:pPr>
                <w:pStyle w:val="Bibliografa"/>
                <w:ind w:left="720" w:hanging="720"/>
                <w:rPr>
                  <w:noProof/>
                  <w:lang w:val="es-ES"/>
                </w:rPr>
              </w:pPr>
              <w:r>
                <w:rPr>
                  <w:noProof/>
                  <w:lang w:val="es-ES"/>
                </w:rPr>
                <w:t xml:space="preserve">Congreso del Estado de Guanajuato. (29 de julio de 2003). Ley de Transparencia y Acceso a la Información Pública para el Estado y los Municipios de Guanajuato. </w:t>
              </w:r>
              <w:r>
                <w:rPr>
                  <w:i/>
                  <w:iCs/>
                  <w:noProof/>
                  <w:lang w:val="es-ES"/>
                </w:rPr>
                <w:t>Periódico Oficial del Gobierno del Estado de Guanajuato</w:t>
              </w:r>
              <w:r>
                <w:rPr>
                  <w:noProof/>
                  <w:lang w:val="es-ES"/>
                </w:rPr>
                <w:t>(120), págs. 20- 37. Retrieved 29 de enero de 2025, from https://backperiodico.guanajuato.gob.mx/api/Periodico/DescargarPeriodicoId/2607</w:t>
              </w:r>
            </w:p>
            <w:p w14:paraId="0CE48650" w14:textId="77777777" w:rsidR="00E23A31" w:rsidRDefault="00E23A31" w:rsidP="00E23A31">
              <w:pPr>
                <w:pStyle w:val="Bibliografa"/>
                <w:ind w:left="720" w:hanging="720"/>
                <w:rPr>
                  <w:noProof/>
                  <w:lang w:val="es-ES"/>
                </w:rPr>
              </w:pPr>
              <w:r>
                <w:rPr>
                  <w:noProof/>
                  <w:lang w:val="es-ES"/>
                </w:rPr>
                <w:lastRenderedPageBreak/>
                <w:t xml:space="preserve">Congreso del Estado de Guanajuato. (6 de diciembre de 2013). Decreto Número 100, expedido por la Sexagésima Segunda Legislatura Constitucional del Estado Libre y Soberano de Guanajuato, mediante el cual, se reforman y adicionan diversos Artículos de la Constitución Política para el Estado de Guanajuato. </w:t>
              </w:r>
              <w:r>
                <w:rPr>
                  <w:i/>
                  <w:iCs/>
                  <w:noProof/>
                  <w:lang w:val="es-ES"/>
                </w:rPr>
                <w:t>Periódico Oficial del Gobierno del Estado de Guanajuato</w:t>
              </w:r>
              <w:r>
                <w:rPr>
                  <w:noProof/>
                  <w:lang w:val="es-ES"/>
                </w:rPr>
                <w:t>(195), págs. 3- 10. Retrieved 31 de enero de 2025, from https://backperiodico.guanajuato.gob.mx/api/Periodico/DescargarPeriodicoId/4860</w:t>
              </w:r>
            </w:p>
            <w:p w14:paraId="360171A5" w14:textId="77777777" w:rsidR="00E23A31" w:rsidRDefault="00E23A31" w:rsidP="00E23A31">
              <w:pPr>
                <w:pStyle w:val="Bibliografa"/>
                <w:ind w:left="720" w:hanging="720"/>
                <w:rPr>
                  <w:noProof/>
                  <w:lang w:val="es-ES"/>
                </w:rPr>
              </w:pPr>
              <w:r>
                <w:rPr>
                  <w:noProof/>
                  <w:lang w:val="es-ES"/>
                </w:rPr>
                <w:t xml:space="preserve">Congreso del Estado de Guanajuato. (18 de octubre de 2013). Ley de Transparencia y Acceso a la Información Pública para el Estado y los Municipios de Guanajuato. </w:t>
              </w:r>
              <w:r>
                <w:rPr>
                  <w:i/>
                  <w:iCs/>
                  <w:noProof/>
                  <w:lang w:val="es-ES"/>
                </w:rPr>
                <w:t>Periódico Oficial del Gobierno de Estado de Guanajuato</w:t>
              </w:r>
              <w:r>
                <w:rPr>
                  <w:noProof/>
                  <w:lang w:val="es-ES"/>
                </w:rPr>
                <w:t>(167), págs. 3- 44. Retrieved 31 de enero de 2025, from https://backperiodico.guanajuato.gob.mx/api/Periodico/DescargarPeriodicoId/4667</w:t>
              </w:r>
            </w:p>
            <w:p w14:paraId="7071A4D3" w14:textId="77777777" w:rsidR="00E23A31" w:rsidRDefault="00E23A31" w:rsidP="00E23A31">
              <w:pPr>
                <w:pStyle w:val="Bibliografa"/>
                <w:ind w:left="720" w:hanging="720"/>
                <w:rPr>
                  <w:noProof/>
                  <w:lang w:val="es-ES"/>
                </w:rPr>
              </w:pPr>
              <w:r>
                <w:rPr>
                  <w:noProof/>
                  <w:lang w:val="es-ES"/>
                </w:rPr>
                <w:t xml:space="preserve">Consejo General del Instituto de Acceso a la Información Pública del Estado de Guanajuato,. (20 de agosto de 2004). Reglamento Interior del Instituto de Acceso a la Información pública del Estado de Guanajuato. </w:t>
              </w:r>
              <w:r>
                <w:rPr>
                  <w:i/>
                  <w:iCs/>
                  <w:noProof/>
                  <w:lang w:val="es-ES"/>
                </w:rPr>
                <w:t>Periódico Oficial del Gobierno de Estado de Guanajuato</w:t>
              </w:r>
              <w:r>
                <w:rPr>
                  <w:noProof/>
                  <w:lang w:val="es-ES"/>
                </w:rPr>
                <w:t>, págs. 16- 47. Retrieved 31 de enero de 2025, from https://backperiodico.guanajuato.gob.mx/api/Periodico/DescargarPeriodicoId/1175</w:t>
              </w:r>
            </w:p>
            <w:p w14:paraId="52CD2358" w14:textId="77777777" w:rsidR="00E23A31" w:rsidRDefault="00E23A31" w:rsidP="00E23A31">
              <w:pPr>
                <w:pStyle w:val="Bibliografa"/>
                <w:ind w:left="720" w:hanging="720"/>
                <w:rPr>
                  <w:noProof/>
                  <w:lang w:val="es-ES"/>
                </w:rPr>
              </w:pPr>
              <w:r>
                <w:rPr>
                  <w:noProof/>
                  <w:lang w:val="es-ES"/>
                </w:rPr>
                <w:t xml:space="preserve">Decreto del Instituto Federal de Acceso a la Información Pública. (24 de diciembre de 2002). </w:t>
              </w:r>
              <w:r>
                <w:rPr>
                  <w:i/>
                  <w:iCs/>
                  <w:noProof/>
                  <w:lang w:val="es-ES"/>
                </w:rPr>
                <w:t>Diario Oficial de la Federación, DXCI</w:t>
              </w:r>
              <w:r>
                <w:rPr>
                  <w:noProof/>
                  <w:lang w:val="es-ES"/>
                </w:rPr>
                <w:t>(17), págs. 5- 6. Retrieved 31 de diciembre de 2025, from file:///D:/Users/jodvelazquez/Downloads/24122002-MAT.pdf</w:t>
              </w:r>
            </w:p>
            <w:p w14:paraId="4A34A416" w14:textId="39B902CC" w:rsidR="000A4849" w:rsidRDefault="000A4849" w:rsidP="00E23A31">
              <w:r>
                <w:rPr>
                  <w:b/>
                  <w:bCs/>
                </w:rPr>
                <w:fldChar w:fldCharType="end"/>
              </w:r>
            </w:p>
          </w:sdtContent>
        </w:sdt>
      </w:sdtContent>
    </w:sdt>
    <w:p w14:paraId="0028F57C" w14:textId="3E5E337E" w:rsidR="000A4849" w:rsidRDefault="000A4849" w:rsidP="000A4849"/>
    <w:p w14:paraId="3EEA5160" w14:textId="77777777" w:rsidR="000A4849" w:rsidRPr="000A4849" w:rsidRDefault="000A4849" w:rsidP="000A4849"/>
    <w:sectPr w:rsidR="000A4849" w:rsidRPr="000A484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4AC2E8" w14:textId="77777777" w:rsidR="00E52192" w:rsidRDefault="00E52192" w:rsidP="00E52192">
      <w:pPr>
        <w:spacing w:after="0" w:line="240" w:lineRule="auto"/>
      </w:pPr>
      <w:r>
        <w:separator/>
      </w:r>
    </w:p>
  </w:endnote>
  <w:endnote w:type="continuationSeparator" w:id="0">
    <w:p w14:paraId="0DB04056" w14:textId="77777777" w:rsidR="00E52192" w:rsidRDefault="00E52192" w:rsidP="00E521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egrit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7B312A" w14:textId="77777777" w:rsidR="00E52192" w:rsidRDefault="00E52192" w:rsidP="00E52192">
      <w:pPr>
        <w:spacing w:after="0" w:line="240" w:lineRule="auto"/>
      </w:pPr>
      <w:r>
        <w:separator/>
      </w:r>
    </w:p>
  </w:footnote>
  <w:footnote w:type="continuationSeparator" w:id="0">
    <w:p w14:paraId="1660439F" w14:textId="77777777" w:rsidR="00E52192" w:rsidRDefault="00E52192" w:rsidP="00E52192">
      <w:pPr>
        <w:spacing w:after="0" w:line="240" w:lineRule="auto"/>
      </w:pPr>
      <w:r>
        <w:continuationSeparator/>
      </w:r>
    </w:p>
  </w:footnote>
  <w:footnote w:id="1">
    <w:p w14:paraId="5DE317B3" w14:textId="277F3D7F" w:rsidR="00E52192" w:rsidRDefault="00E52192" w:rsidP="00E52192">
      <w:pPr>
        <w:pStyle w:val="Textonotapie"/>
      </w:pPr>
      <w:r>
        <w:rPr>
          <w:rStyle w:val="Refdenotaalpie"/>
        </w:rPr>
        <w:footnoteRef/>
      </w:r>
      <w:r>
        <w:t xml:space="preserve"> </w:t>
      </w:r>
      <w:r w:rsidRPr="00944E60">
        <w:rPr>
          <w:i/>
        </w:rPr>
        <w:t>Constitución Federal de los Estados Unidos Mexicanos de 1824</w:t>
      </w:r>
      <w:r>
        <w:t xml:space="preserve">. </w:t>
      </w:r>
      <w:r w:rsidR="00F65729">
        <w:t>Artículo 161, fracción IV.</w:t>
      </w:r>
    </w:p>
    <w:p w14:paraId="6A0289DB" w14:textId="5F563E4A" w:rsidR="006C2904" w:rsidRDefault="006C2904" w:rsidP="00E52192">
      <w:pPr>
        <w:pStyle w:val="Textonotapie"/>
      </w:pPr>
      <w:r w:rsidRPr="006C2904">
        <w:rPr>
          <w:i/>
        </w:rPr>
        <w:t>Constitución Política de la República Mexicana de 1857</w:t>
      </w:r>
      <w:r>
        <w:t>. Artículos 6° y 7°.</w:t>
      </w:r>
    </w:p>
    <w:p w14:paraId="6C112503" w14:textId="18B16F2B" w:rsidR="00E52192" w:rsidRPr="00594D64" w:rsidRDefault="00E52192" w:rsidP="00E52192">
      <w:pPr>
        <w:pStyle w:val="Textonotapie"/>
      </w:pPr>
      <w:r w:rsidRPr="00944E60">
        <w:rPr>
          <w:i/>
        </w:rPr>
        <w:t>Constitución Política de los Estados Unidos Mexicanos que reforma la de 5 de febrero del 1857</w:t>
      </w:r>
      <w:r w:rsidR="00944E60">
        <w:rPr>
          <w:i/>
        </w:rPr>
        <w:t xml:space="preserve">. </w:t>
      </w:r>
      <w:r w:rsidR="00594D64">
        <w:t>Artículo</w:t>
      </w:r>
      <w:r w:rsidR="006463D6">
        <w:t>s</w:t>
      </w:r>
      <w:r w:rsidR="00594D64">
        <w:t xml:space="preserve"> </w:t>
      </w:r>
      <w:r w:rsidR="006463D6">
        <w:t>6° y 7°.</w:t>
      </w:r>
    </w:p>
    <w:p w14:paraId="24EE411B" w14:textId="059F0E21" w:rsidR="00E52192" w:rsidRDefault="00E52192" w:rsidP="00E52192">
      <w:pPr>
        <w:pStyle w:val="Textonotapie"/>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2246"/>
    <w:rsid w:val="00011426"/>
    <w:rsid w:val="00011958"/>
    <w:rsid w:val="000452DA"/>
    <w:rsid w:val="00046F3B"/>
    <w:rsid w:val="00063EE0"/>
    <w:rsid w:val="00084051"/>
    <w:rsid w:val="00087ACA"/>
    <w:rsid w:val="000A4849"/>
    <w:rsid w:val="000B1701"/>
    <w:rsid w:val="000D024C"/>
    <w:rsid w:val="000D07B8"/>
    <w:rsid w:val="000D1572"/>
    <w:rsid w:val="000D19F5"/>
    <w:rsid w:val="000D2246"/>
    <w:rsid w:val="000D3EED"/>
    <w:rsid w:val="00157FBF"/>
    <w:rsid w:val="00160CA4"/>
    <w:rsid w:val="00174ABE"/>
    <w:rsid w:val="00190728"/>
    <w:rsid w:val="001B1380"/>
    <w:rsid w:val="001C213F"/>
    <w:rsid w:val="001D2B62"/>
    <w:rsid w:val="001F500A"/>
    <w:rsid w:val="0022626F"/>
    <w:rsid w:val="00233C50"/>
    <w:rsid w:val="002347ED"/>
    <w:rsid w:val="00237C18"/>
    <w:rsid w:val="00251F0A"/>
    <w:rsid w:val="00252CBF"/>
    <w:rsid w:val="002544DB"/>
    <w:rsid w:val="00273749"/>
    <w:rsid w:val="00281227"/>
    <w:rsid w:val="002A0BDD"/>
    <w:rsid w:val="002A2E5A"/>
    <w:rsid w:val="002C39B9"/>
    <w:rsid w:val="002C7D6D"/>
    <w:rsid w:val="002D3406"/>
    <w:rsid w:val="002D568F"/>
    <w:rsid w:val="002F2D5F"/>
    <w:rsid w:val="00303877"/>
    <w:rsid w:val="0034153B"/>
    <w:rsid w:val="00343BFB"/>
    <w:rsid w:val="003561FC"/>
    <w:rsid w:val="00357255"/>
    <w:rsid w:val="00361E31"/>
    <w:rsid w:val="0037651A"/>
    <w:rsid w:val="00392976"/>
    <w:rsid w:val="00395389"/>
    <w:rsid w:val="0039612D"/>
    <w:rsid w:val="00396E0A"/>
    <w:rsid w:val="003973BB"/>
    <w:rsid w:val="004014C8"/>
    <w:rsid w:val="004223A4"/>
    <w:rsid w:val="00426746"/>
    <w:rsid w:val="00427DF0"/>
    <w:rsid w:val="00441938"/>
    <w:rsid w:val="004518A6"/>
    <w:rsid w:val="00470673"/>
    <w:rsid w:val="00473043"/>
    <w:rsid w:val="004C08EA"/>
    <w:rsid w:val="004C11D4"/>
    <w:rsid w:val="004C5DF4"/>
    <w:rsid w:val="004D4F93"/>
    <w:rsid w:val="004F160F"/>
    <w:rsid w:val="00501CD7"/>
    <w:rsid w:val="00547BEB"/>
    <w:rsid w:val="00557B49"/>
    <w:rsid w:val="005937E2"/>
    <w:rsid w:val="00594D64"/>
    <w:rsid w:val="005979F8"/>
    <w:rsid w:val="005B0517"/>
    <w:rsid w:val="005B7B62"/>
    <w:rsid w:val="005C5210"/>
    <w:rsid w:val="00631A7F"/>
    <w:rsid w:val="00635FAC"/>
    <w:rsid w:val="006365C1"/>
    <w:rsid w:val="00640CC8"/>
    <w:rsid w:val="00643CF8"/>
    <w:rsid w:val="006463D6"/>
    <w:rsid w:val="0066114D"/>
    <w:rsid w:val="00676B33"/>
    <w:rsid w:val="006C2904"/>
    <w:rsid w:val="006E737E"/>
    <w:rsid w:val="006F004C"/>
    <w:rsid w:val="00703469"/>
    <w:rsid w:val="00722C01"/>
    <w:rsid w:val="007739EC"/>
    <w:rsid w:val="0077683B"/>
    <w:rsid w:val="007919F3"/>
    <w:rsid w:val="007B5674"/>
    <w:rsid w:val="007E1D27"/>
    <w:rsid w:val="007E409C"/>
    <w:rsid w:val="007E6CF4"/>
    <w:rsid w:val="00810431"/>
    <w:rsid w:val="00812552"/>
    <w:rsid w:val="00827352"/>
    <w:rsid w:val="00841967"/>
    <w:rsid w:val="0087125F"/>
    <w:rsid w:val="008734C6"/>
    <w:rsid w:val="00893DD3"/>
    <w:rsid w:val="008B4469"/>
    <w:rsid w:val="008B570B"/>
    <w:rsid w:val="008B7E01"/>
    <w:rsid w:val="008D6DAF"/>
    <w:rsid w:val="008D7C16"/>
    <w:rsid w:val="00927C57"/>
    <w:rsid w:val="00943B22"/>
    <w:rsid w:val="00944E60"/>
    <w:rsid w:val="00965F77"/>
    <w:rsid w:val="00974FB3"/>
    <w:rsid w:val="00980C63"/>
    <w:rsid w:val="009B2505"/>
    <w:rsid w:val="009C47F8"/>
    <w:rsid w:val="009C7E77"/>
    <w:rsid w:val="009D5516"/>
    <w:rsid w:val="009F5402"/>
    <w:rsid w:val="00A04C35"/>
    <w:rsid w:val="00A3531D"/>
    <w:rsid w:val="00A35EB2"/>
    <w:rsid w:val="00A42259"/>
    <w:rsid w:val="00A848E1"/>
    <w:rsid w:val="00AA5975"/>
    <w:rsid w:val="00AC1671"/>
    <w:rsid w:val="00B06A9A"/>
    <w:rsid w:val="00B102C0"/>
    <w:rsid w:val="00B45298"/>
    <w:rsid w:val="00B577B0"/>
    <w:rsid w:val="00B6548E"/>
    <w:rsid w:val="00B848F2"/>
    <w:rsid w:val="00B92C5D"/>
    <w:rsid w:val="00B97CBB"/>
    <w:rsid w:val="00BA1E48"/>
    <w:rsid w:val="00BB0E79"/>
    <w:rsid w:val="00BE4166"/>
    <w:rsid w:val="00C028F2"/>
    <w:rsid w:val="00C33703"/>
    <w:rsid w:val="00C563AE"/>
    <w:rsid w:val="00C57442"/>
    <w:rsid w:val="00C709AA"/>
    <w:rsid w:val="00C735A8"/>
    <w:rsid w:val="00C81310"/>
    <w:rsid w:val="00C929BF"/>
    <w:rsid w:val="00CA1422"/>
    <w:rsid w:val="00CB562B"/>
    <w:rsid w:val="00CB6F8C"/>
    <w:rsid w:val="00CD0A50"/>
    <w:rsid w:val="00CE0BDD"/>
    <w:rsid w:val="00D4029B"/>
    <w:rsid w:val="00D8520B"/>
    <w:rsid w:val="00D8622B"/>
    <w:rsid w:val="00D90409"/>
    <w:rsid w:val="00D91A43"/>
    <w:rsid w:val="00DA5318"/>
    <w:rsid w:val="00DB1C1C"/>
    <w:rsid w:val="00DC3259"/>
    <w:rsid w:val="00DD797B"/>
    <w:rsid w:val="00DE12C3"/>
    <w:rsid w:val="00DE12CF"/>
    <w:rsid w:val="00DE700C"/>
    <w:rsid w:val="00E1502F"/>
    <w:rsid w:val="00E23A31"/>
    <w:rsid w:val="00E303C6"/>
    <w:rsid w:val="00E33694"/>
    <w:rsid w:val="00E37AAE"/>
    <w:rsid w:val="00E426D1"/>
    <w:rsid w:val="00E52192"/>
    <w:rsid w:val="00E54AC6"/>
    <w:rsid w:val="00E60868"/>
    <w:rsid w:val="00E63B1D"/>
    <w:rsid w:val="00E757D4"/>
    <w:rsid w:val="00E7721E"/>
    <w:rsid w:val="00EA4368"/>
    <w:rsid w:val="00EC448F"/>
    <w:rsid w:val="00ED06B6"/>
    <w:rsid w:val="00EE2C8D"/>
    <w:rsid w:val="00F00C6A"/>
    <w:rsid w:val="00F00C9F"/>
    <w:rsid w:val="00F023F0"/>
    <w:rsid w:val="00F03ACF"/>
    <w:rsid w:val="00F529A0"/>
    <w:rsid w:val="00F532D3"/>
    <w:rsid w:val="00F61621"/>
    <w:rsid w:val="00F639A6"/>
    <w:rsid w:val="00F65729"/>
    <w:rsid w:val="00F65B3C"/>
    <w:rsid w:val="00F817F7"/>
    <w:rsid w:val="00F860E4"/>
    <w:rsid w:val="00FA6362"/>
    <w:rsid w:val="00FC38AB"/>
    <w:rsid w:val="00FC5DF6"/>
    <w:rsid w:val="00FD3E90"/>
    <w:rsid w:val="00FE0E11"/>
    <w:rsid w:val="00FE228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04CFBD"/>
  <w15:chartTrackingRefBased/>
  <w15:docId w15:val="{880AB6CD-EE1C-4BF4-8088-FF67A34AD4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0E79"/>
    <w:pPr>
      <w:spacing w:line="360" w:lineRule="auto"/>
      <w:jc w:val="both"/>
    </w:pPr>
    <w:rPr>
      <w:rFonts w:ascii="Arial" w:hAnsi="Arial"/>
      <w:sz w:val="24"/>
    </w:rPr>
  </w:style>
  <w:style w:type="paragraph" w:styleId="Ttulo1">
    <w:name w:val="heading 1"/>
    <w:basedOn w:val="Normal"/>
    <w:next w:val="Normal"/>
    <w:link w:val="Ttulo1Car"/>
    <w:uiPriority w:val="9"/>
    <w:qFormat/>
    <w:rsid w:val="00D8622B"/>
    <w:pPr>
      <w:keepNext/>
      <w:keepLines/>
      <w:spacing w:before="240" w:after="0"/>
      <w:outlineLvl w:val="0"/>
    </w:pPr>
    <w:rPr>
      <w:rFonts w:ascii="Arial Negrita" w:eastAsiaTheme="majorEastAsia" w:hAnsi="Arial Negrita" w:cstheme="majorBidi"/>
      <w:b/>
      <w:caps/>
      <w:szCs w:val="32"/>
    </w:rPr>
  </w:style>
  <w:style w:type="paragraph" w:styleId="Ttulo2">
    <w:name w:val="heading 2"/>
    <w:basedOn w:val="Normal"/>
    <w:next w:val="Normal"/>
    <w:link w:val="Ttulo2Car"/>
    <w:uiPriority w:val="9"/>
    <w:unhideWhenUsed/>
    <w:qFormat/>
    <w:rsid w:val="00AC1671"/>
    <w:pPr>
      <w:keepNext/>
      <w:keepLines/>
      <w:spacing w:before="40" w:after="0"/>
      <w:outlineLvl w:val="1"/>
    </w:pPr>
    <w:rPr>
      <w:rFonts w:ascii="Arial Negrita" w:eastAsiaTheme="majorEastAsia" w:hAnsi="Arial Negrita" w:cstheme="majorBidi"/>
      <w:b/>
      <w:smallCaps/>
      <w:szCs w:val="26"/>
    </w:rPr>
  </w:style>
  <w:style w:type="paragraph" w:styleId="Ttulo3">
    <w:name w:val="heading 3"/>
    <w:basedOn w:val="Normal"/>
    <w:next w:val="Normal"/>
    <w:link w:val="Ttulo3Car"/>
    <w:uiPriority w:val="9"/>
    <w:unhideWhenUsed/>
    <w:qFormat/>
    <w:rsid w:val="00AC1671"/>
    <w:pPr>
      <w:keepNext/>
      <w:keepLines/>
      <w:spacing w:before="40" w:after="0"/>
      <w:outlineLvl w:val="2"/>
    </w:pPr>
    <w:rPr>
      <w:rFonts w:ascii="Arial Negrita" w:eastAsiaTheme="majorEastAsia" w:hAnsi="Arial Negrita" w:cstheme="majorBidi"/>
      <w:b/>
      <w:smallCaps/>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D8622B"/>
    <w:rPr>
      <w:rFonts w:ascii="Arial Negrita" w:eastAsiaTheme="majorEastAsia" w:hAnsi="Arial Negrita" w:cstheme="majorBidi"/>
      <w:b/>
      <w:caps/>
      <w:sz w:val="24"/>
      <w:szCs w:val="32"/>
    </w:rPr>
  </w:style>
  <w:style w:type="paragraph" w:styleId="Textonotapie">
    <w:name w:val="footnote text"/>
    <w:basedOn w:val="Normal"/>
    <w:link w:val="TextonotapieCar"/>
    <w:uiPriority w:val="99"/>
    <w:semiHidden/>
    <w:unhideWhenUsed/>
    <w:rsid w:val="00E52192"/>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52192"/>
    <w:rPr>
      <w:rFonts w:ascii="Arial" w:hAnsi="Arial"/>
      <w:sz w:val="20"/>
      <w:szCs w:val="20"/>
    </w:rPr>
  </w:style>
  <w:style w:type="character" w:styleId="Refdenotaalpie">
    <w:name w:val="footnote reference"/>
    <w:basedOn w:val="Fuentedeprrafopredeter"/>
    <w:uiPriority w:val="99"/>
    <w:semiHidden/>
    <w:unhideWhenUsed/>
    <w:rsid w:val="00E52192"/>
    <w:rPr>
      <w:vertAlign w:val="superscript"/>
    </w:rPr>
  </w:style>
  <w:style w:type="paragraph" w:styleId="Bibliografa">
    <w:name w:val="Bibliography"/>
    <w:basedOn w:val="Normal"/>
    <w:next w:val="Normal"/>
    <w:uiPriority w:val="37"/>
    <w:unhideWhenUsed/>
    <w:rsid w:val="002544DB"/>
  </w:style>
  <w:style w:type="paragraph" w:styleId="Prrafodelista">
    <w:name w:val="List Paragraph"/>
    <w:basedOn w:val="Normal"/>
    <w:uiPriority w:val="34"/>
    <w:qFormat/>
    <w:rsid w:val="008B570B"/>
    <w:pPr>
      <w:ind w:left="720"/>
      <w:contextualSpacing/>
    </w:pPr>
  </w:style>
  <w:style w:type="character" w:customStyle="1" w:styleId="Ttulo2Car">
    <w:name w:val="Título 2 Car"/>
    <w:basedOn w:val="Fuentedeprrafopredeter"/>
    <w:link w:val="Ttulo2"/>
    <w:uiPriority w:val="9"/>
    <w:rsid w:val="00AC1671"/>
    <w:rPr>
      <w:rFonts w:ascii="Arial Negrita" w:eastAsiaTheme="majorEastAsia" w:hAnsi="Arial Negrita" w:cstheme="majorBidi"/>
      <w:b/>
      <w:smallCaps/>
      <w:sz w:val="24"/>
      <w:szCs w:val="26"/>
    </w:rPr>
  </w:style>
  <w:style w:type="character" w:customStyle="1" w:styleId="Ttulo3Car">
    <w:name w:val="Título 3 Car"/>
    <w:basedOn w:val="Fuentedeprrafopredeter"/>
    <w:link w:val="Ttulo3"/>
    <w:uiPriority w:val="9"/>
    <w:rsid w:val="00AC1671"/>
    <w:rPr>
      <w:rFonts w:ascii="Arial Negrita" w:eastAsiaTheme="majorEastAsia" w:hAnsi="Arial Negrita" w:cstheme="majorBidi"/>
      <w:b/>
      <w:smallCaps/>
      <w:sz w:val="24"/>
      <w:szCs w:val="24"/>
    </w:rPr>
  </w:style>
  <w:style w:type="paragraph" w:styleId="TtuloTDC">
    <w:name w:val="TOC Heading"/>
    <w:basedOn w:val="Ttulo1"/>
    <w:next w:val="Normal"/>
    <w:uiPriority w:val="39"/>
    <w:unhideWhenUsed/>
    <w:qFormat/>
    <w:rsid w:val="00C57442"/>
    <w:pPr>
      <w:spacing w:line="259" w:lineRule="auto"/>
      <w:jc w:val="left"/>
      <w:outlineLvl w:val="9"/>
    </w:pPr>
    <w:rPr>
      <w:rFonts w:asciiTheme="majorHAnsi" w:hAnsiTheme="majorHAnsi"/>
      <w:b w:val="0"/>
      <w:caps w:val="0"/>
      <w:color w:val="2F5496" w:themeColor="accent1" w:themeShade="BF"/>
      <w:sz w:val="32"/>
      <w:lang w:eastAsia="es-MX"/>
    </w:rPr>
  </w:style>
  <w:style w:type="paragraph" w:styleId="TDC1">
    <w:name w:val="toc 1"/>
    <w:basedOn w:val="Normal"/>
    <w:next w:val="Normal"/>
    <w:autoRedefine/>
    <w:uiPriority w:val="39"/>
    <w:unhideWhenUsed/>
    <w:rsid w:val="00C57442"/>
    <w:pPr>
      <w:spacing w:after="100"/>
    </w:pPr>
  </w:style>
  <w:style w:type="paragraph" w:styleId="TDC2">
    <w:name w:val="toc 2"/>
    <w:basedOn w:val="Normal"/>
    <w:next w:val="Normal"/>
    <w:autoRedefine/>
    <w:uiPriority w:val="39"/>
    <w:unhideWhenUsed/>
    <w:rsid w:val="00C57442"/>
    <w:pPr>
      <w:spacing w:after="100"/>
      <w:ind w:left="240"/>
    </w:pPr>
  </w:style>
  <w:style w:type="character" w:styleId="Hipervnculo">
    <w:name w:val="Hyperlink"/>
    <w:basedOn w:val="Fuentedeprrafopredeter"/>
    <w:uiPriority w:val="99"/>
    <w:unhideWhenUsed/>
    <w:rsid w:val="00C5744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68465">
      <w:bodyDiv w:val="1"/>
      <w:marLeft w:val="0"/>
      <w:marRight w:val="0"/>
      <w:marTop w:val="0"/>
      <w:marBottom w:val="0"/>
      <w:divBdr>
        <w:top w:val="none" w:sz="0" w:space="0" w:color="auto"/>
        <w:left w:val="none" w:sz="0" w:space="0" w:color="auto"/>
        <w:bottom w:val="none" w:sz="0" w:space="0" w:color="auto"/>
        <w:right w:val="none" w:sz="0" w:space="0" w:color="auto"/>
      </w:divBdr>
    </w:div>
    <w:div w:id="53433855">
      <w:bodyDiv w:val="1"/>
      <w:marLeft w:val="0"/>
      <w:marRight w:val="0"/>
      <w:marTop w:val="0"/>
      <w:marBottom w:val="0"/>
      <w:divBdr>
        <w:top w:val="none" w:sz="0" w:space="0" w:color="auto"/>
        <w:left w:val="none" w:sz="0" w:space="0" w:color="auto"/>
        <w:bottom w:val="none" w:sz="0" w:space="0" w:color="auto"/>
        <w:right w:val="none" w:sz="0" w:space="0" w:color="auto"/>
      </w:divBdr>
    </w:div>
    <w:div w:id="177158916">
      <w:bodyDiv w:val="1"/>
      <w:marLeft w:val="0"/>
      <w:marRight w:val="0"/>
      <w:marTop w:val="0"/>
      <w:marBottom w:val="0"/>
      <w:divBdr>
        <w:top w:val="none" w:sz="0" w:space="0" w:color="auto"/>
        <w:left w:val="none" w:sz="0" w:space="0" w:color="auto"/>
        <w:bottom w:val="none" w:sz="0" w:space="0" w:color="auto"/>
        <w:right w:val="none" w:sz="0" w:space="0" w:color="auto"/>
      </w:divBdr>
    </w:div>
    <w:div w:id="240483181">
      <w:bodyDiv w:val="1"/>
      <w:marLeft w:val="0"/>
      <w:marRight w:val="0"/>
      <w:marTop w:val="0"/>
      <w:marBottom w:val="0"/>
      <w:divBdr>
        <w:top w:val="none" w:sz="0" w:space="0" w:color="auto"/>
        <w:left w:val="none" w:sz="0" w:space="0" w:color="auto"/>
        <w:bottom w:val="none" w:sz="0" w:space="0" w:color="auto"/>
        <w:right w:val="none" w:sz="0" w:space="0" w:color="auto"/>
      </w:divBdr>
    </w:div>
    <w:div w:id="516043279">
      <w:bodyDiv w:val="1"/>
      <w:marLeft w:val="0"/>
      <w:marRight w:val="0"/>
      <w:marTop w:val="0"/>
      <w:marBottom w:val="0"/>
      <w:divBdr>
        <w:top w:val="none" w:sz="0" w:space="0" w:color="auto"/>
        <w:left w:val="none" w:sz="0" w:space="0" w:color="auto"/>
        <w:bottom w:val="none" w:sz="0" w:space="0" w:color="auto"/>
        <w:right w:val="none" w:sz="0" w:space="0" w:color="auto"/>
      </w:divBdr>
    </w:div>
    <w:div w:id="575170753">
      <w:bodyDiv w:val="1"/>
      <w:marLeft w:val="0"/>
      <w:marRight w:val="0"/>
      <w:marTop w:val="0"/>
      <w:marBottom w:val="0"/>
      <w:divBdr>
        <w:top w:val="none" w:sz="0" w:space="0" w:color="auto"/>
        <w:left w:val="none" w:sz="0" w:space="0" w:color="auto"/>
        <w:bottom w:val="none" w:sz="0" w:space="0" w:color="auto"/>
        <w:right w:val="none" w:sz="0" w:space="0" w:color="auto"/>
      </w:divBdr>
    </w:div>
    <w:div w:id="778993345">
      <w:bodyDiv w:val="1"/>
      <w:marLeft w:val="0"/>
      <w:marRight w:val="0"/>
      <w:marTop w:val="0"/>
      <w:marBottom w:val="0"/>
      <w:divBdr>
        <w:top w:val="none" w:sz="0" w:space="0" w:color="auto"/>
        <w:left w:val="none" w:sz="0" w:space="0" w:color="auto"/>
        <w:bottom w:val="none" w:sz="0" w:space="0" w:color="auto"/>
        <w:right w:val="none" w:sz="0" w:space="0" w:color="auto"/>
      </w:divBdr>
    </w:div>
    <w:div w:id="811865948">
      <w:bodyDiv w:val="1"/>
      <w:marLeft w:val="0"/>
      <w:marRight w:val="0"/>
      <w:marTop w:val="0"/>
      <w:marBottom w:val="0"/>
      <w:divBdr>
        <w:top w:val="none" w:sz="0" w:space="0" w:color="auto"/>
        <w:left w:val="none" w:sz="0" w:space="0" w:color="auto"/>
        <w:bottom w:val="none" w:sz="0" w:space="0" w:color="auto"/>
        <w:right w:val="none" w:sz="0" w:space="0" w:color="auto"/>
      </w:divBdr>
    </w:div>
    <w:div w:id="830877566">
      <w:bodyDiv w:val="1"/>
      <w:marLeft w:val="0"/>
      <w:marRight w:val="0"/>
      <w:marTop w:val="0"/>
      <w:marBottom w:val="0"/>
      <w:divBdr>
        <w:top w:val="none" w:sz="0" w:space="0" w:color="auto"/>
        <w:left w:val="none" w:sz="0" w:space="0" w:color="auto"/>
        <w:bottom w:val="none" w:sz="0" w:space="0" w:color="auto"/>
        <w:right w:val="none" w:sz="0" w:space="0" w:color="auto"/>
      </w:divBdr>
    </w:div>
    <w:div w:id="1018123872">
      <w:bodyDiv w:val="1"/>
      <w:marLeft w:val="0"/>
      <w:marRight w:val="0"/>
      <w:marTop w:val="0"/>
      <w:marBottom w:val="0"/>
      <w:divBdr>
        <w:top w:val="none" w:sz="0" w:space="0" w:color="auto"/>
        <w:left w:val="none" w:sz="0" w:space="0" w:color="auto"/>
        <w:bottom w:val="none" w:sz="0" w:space="0" w:color="auto"/>
        <w:right w:val="none" w:sz="0" w:space="0" w:color="auto"/>
      </w:divBdr>
    </w:div>
    <w:div w:id="1045642996">
      <w:bodyDiv w:val="1"/>
      <w:marLeft w:val="0"/>
      <w:marRight w:val="0"/>
      <w:marTop w:val="0"/>
      <w:marBottom w:val="0"/>
      <w:divBdr>
        <w:top w:val="none" w:sz="0" w:space="0" w:color="auto"/>
        <w:left w:val="none" w:sz="0" w:space="0" w:color="auto"/>
        <w:bottom w:val="none" w:sz="0" w:space="0" w:color="auto"/>
        <w:right w:val="none" w:sz="0" w:space="0" w:color="auto"/>
      </w:divBdr>
    </w:div>
    <w:div w:id="1182747343">
      <w:bodyDiv w:val="1"/>
      <w:marLeft w:val="0"/>
      <w:marRight w:val="0"/>
      <w:marTop w:val="0"/>
      <w:marBottom w:val="0"/>
      <w:divBdr>
        <w:top w:val="none" w:sz="0" w:space="0" w:color="auto"/>
        <w:left w:val="none" w:sz="0" w:space="0" w:color="auto"/>
        <w:bottom w:val="none" w:sz="0" w:space="0" w:color="auto"/>
        <w:right w:val="none" w:sz="0" w:space="0" w:color="auto"/>
      </w:divBdr>
    </w:div>
    <w:div w:id="1216627995">
      <w:bodyDiv w:val="1"/>
      <w:marLeft w:val="0"/>
      <w:marRight w:val="0"/>
      <w:marTop w:val="0"/>
      <w:marBottom w:val="0"/>
      <w:divBdr>
        <w:top w:val="none" w:sz="0" w:space="0" w:color="auto"/>
        <w:left w:val="none" w:sz="0" w:space="0" w:color="auto"/>
        <w:bottom w:val="none" w:sz="0" w:space="0" w:color="auto"/>
        <w:right w:val="none" w:sz="0" w:space="0" w:color="auto"/>
      </w:divBdr>
    </w:div>
    <w:div w:id="1293436469">
      <w:bodyDiv w:val="1"/>
      <w:marLeft w:val="0"/>
      <w:marRight w:val="0"/>
      <w:marTop w:val="0"/>
      <w:marBottom w:val="0"/>
      <w:divBdr>
        <w:top w:val="none" w:sz="0" w:space="0" w:color="auto"/>
        <w:left w:val="none" w:sz="0" w:space="0" w:color="auto"/>
        <w:bottom w:val="none" w:sz="0" w:space="0" w:color="auto"/>
        <w:right w:val="none" w:sz="0" w:space="0" w:color="auto"/>
      </w:divBdr>
    </w:div>
    <w:div w:id="1460996742">
      <w:bodyDiv w:val="1"/>
      <w:marLeft w:val="0"/>
      <w:marRight w:val="0"/>
      <w:marTop w:val="0"/>
      <w:marBottom w:val="0"/>
      <w:divBdr>
        <w:top w:val="none" w:sz="0" w:space="0" w:color="auto"/>
        <w:left w:val="none" w:sz="0" w:space="0" w:color="auto"/>
        <w:bottom w:val="none" w:sz="0" w:space="0" w:color="auto"/>
        <w:right w:val="none" w:sz="0" w:space="0" w:color="auto"/>
      </w:divBdr>
    </w:div>
    <w:div w:id="1482621295">
      <w:bodyDiv w:val="1"/>
      <w:marLeft w:val="0"/>
      <w:marRight w:val="0"/>
      <w:marTop w:val="0"/>
      <w:marBottom w:val="0"/>
      <w:divBdr>
        <w:top w:val="none" w:sz="0" w:space="0" w:color="auto"/>
        <w:left w:val="none" w:sz="0" w:space="0" w:color="auto"/>
        <w:bottom w:val="none" w:sz="0" w:space="0" w:color="auto"/>
        <w:right w:val="none" w:sz="0" w:space="0" w:color="auto"/>
      </w:divBdr>
    </w:div>
    <w:div w:id="1516263571">
      <w:bodyDiv w:val="1"/>
      <w:marLeft w:val="0"/>
      <w:marRight w:val="0"/>
      <w:marTop w:val="0"/>
      <w:marBottom w:val="0"/>
      <w:divBdr>
        <w:top w:val="none" w:sz="0" w:space="0" w:color="auto"/>
        <w:left w:val="none" w:sz="0" w:space="0" w:color="auto"/>
        <w:bottom w:val="none" w:sz="0" w:space="0" w:color="auto"/>
        <w:right w:val="none" w:sz="0" w:space="0" w:color="auto"/>
      </w:divBdr>
    </w:div>
    <w:div w:id="1619415180">
      <w:bodyDiv w:val="1"/>
      <w:marLeft w:val="0"/>
      <w:marRight w:val="0"/>
      <w:marTop w:val="0"/>
      <w:marBottom w:val="0"/>
      <w:divBdr>
        <w:top w:val="none" w:sz="0" w:space="0" w:color="auto"/>
        <w:left w:val="none" w:sz="0" w:space="0" w:color="auto"/>
        <w:bottom w:val="none" w:sz="0" w:space="0" w:color="auto"/>
        <w:right w:val="none" w:sz="0" w:space="0" w:color="auto"/>
      </w:divBdr>
    </w:div>
    <w:div w:id="1710062672">
      <w:bodyDiv w:val="1"/>
      <w:marLeft w:val="0"/>
      <w:marRight w:val="0"/>
      <w:marTop w:val="0"/>
      <w:marBottom w:val="0"/>
      <w:divBdr>
        <w:top w:val="none" w:sz="0" w:space="0" w:color="auto"/>
        <w:left w:val="none" w:sz="0" w:space="0" w:color="auto"/>
        <w:bottom w:val="none" w:sz="0" w:space="0" w:color="auto"/>
        <w:right w:val="none" w:sz="0" w:space="0" w:color="auto"/>
      </w:divBdr>
    </w:div>
    <w:div w:id="1799370363">
      <w:bodyDiv w:val="1"/>
      <w:marLeft w:val="0"/>
      <w:marRight w:val="0"/>
      <w:marTop w:val="0"/>
      <w:marBottom w:val="0"/>
      <w:divBdr>
        <w:top w:val="none" w:sz="0" w:space="0" w:color="auto"/>
        <w:left w:val="none" w:sz="0" w:space="0" w:color="auto"/>
        <w:bottom w:val="none" w:sz="0" w:space="0" w:color="auto"/>
        <w:right w:val="none" w:sz="0" w:space="0" w:color="auto"/>
      </w:divBdr>
    </w:div>
    <w:div w:id="1857888215">
      <w:bodyDiv w:val="1"/>
      <w:marLeft w:val="0"/>
      <w:marRight w:val="0"/>
      <w:marTop w:val="0"/>
      <w:marBottom w:val="0"/>
      <w:divBdr>
        <w:top w:val="none" w:sz="0" w:space="0" w:color="auto"/>
        <w:left w:val="none" w:sz="0" w:space="0" w:color="auto"/>
        <w:bottom w:val="none" w:sz="0" w:space="0" w:color="auto"/>
        <w:right w:val="none" w:sz="0" w:space="0" w:color="auto"/>
      </w:divBdr>
    </w:div>
    <w:div w:id="1875075526">
      <w:bodyDiv w:val="1"/>
      <w:marLeft w:val="0"/>
      <w:marRight w:val="0"/>
      <w:marTop w:val="0"/>
      <w:marBottom w:val="0"/>
      <w:divBdr>
        <w:top w:val="none" w:sz="0" w:space="0" w:color="auto"/>
        <w:left w:val="none" w:sz="0" w:space="0" w:color="auto"/>
        <w:bottom w:val="none" w:sz="0" w:space="0" w:color="auto"/>
        <w:right w:val="none" w:sz="0" w:space="0" w:color="auto"/>
      </w:divBdr>
    </w:div>
    <w:div w:id="1987120181">
      <w:bodyDiv w:val="1"/>
      <w:marLeft w:val="0"/>
      <w:marRight w:val="0"/>
      <w:marTop w:val="0"/>
      <w:marBottom w:val="0"/>
      <w:divBdr>
        <w:top w:val="none" w:sz="0" w:space="0" w:color="auto"/>
        <w:left w:val="none" w:sz="0" w:space="0" w:color="auto"/>
        <w:bottom w:val="none" w:sz="0" w:space="0" w:color="auto"/>
        <w:right w:val="none" w:sz="0" w:space="0" w:color="auto"/>
      </w:divBdr>
    </w:div>
    <w:div w:id="1988705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eventhEdition.xsl" StyleName="APA" Version="7">
  <b:Source>
    <b:Tag>Con03</b:Tag>
    <b:SourceType>ArticleInAPeriodical</b:SourceType>
    <b:Guid>{7CEE9A3A-26D0-4FA7-B20B-4C7AA600B1EC}</b:Guid>
    <b:Title>Ley de Transparencia y Acceso a la Información Pública para el Estado y los Municipios de Guanajuato</b:Title>
    <b:Year>2003</b:Year>
    <b:Pages>20- 37</b:Pages>
    <b:Issue>120</b:Issue>
    <b:Author>
      <b:Author>
        <b:Corporate>Congreso del Estado de Guanajuato</b:Corporate>
      </b:Author>
    </b:Author>
    <b:PeriodicalTitle>Periódico Oficial del Gobierno del Estado de Guanajuato</b:PeriodicalTitle>
    <b:Month>julio</b:Month>
    <b:Day>29</b:Day>
    <b:URL>https://backperiodico.guanajuato.gob.mx/api/Periodico/DescargarPeriodicoId/2607</b:URL>
    <b:City>Guanajuato</b:City>
    <b:Edition>Segunda Parte</b:Edition>
    <b:YearAccessed>2025</b:YearAccessed>
    <b:MonthAccessed>enero</b:MonthAccessed>
    <b:DayAccessed>29</b:DayAccessed>
    <b:RefOrder>1</b:RefOrder>
  </b:Source>
  <b:Source>
    <b:Tag>Con02</b:Tag>
    <b:SourceType>ArticleInAPeriodical</b:SourceType>
    <b:Guid>{08B2EC18-B070-4426-A6F4-D1D08D1E10E9}</b:Guid>
    <b:Author>
      <b:Author>
        <b:Corporate>Congreso de la Unión</b:Corporate>
      </b:Author>
    </b:Author>
    <b:Title>Ley Federal de Transparencia y acceso a la Información Pública Gubernamental</b:Title>
    <b:PeriodicalTitle>Diario Oficial de la Federación</b:PeriodicalTitle>
    <b:Year>2002</b:Year>
    <b:Month>junio</b:Month>
    <b:Day>11</b:Day>
    <b:Pages>2- 15</b:Pages>
    <b:URL>https://www.dof.gob.mx/nota_detalle.php?codigo=727870&amp;fecha=11/06/2002#gsc.tab=0</b:URL>
    <b:City>México</b:City>
    <b:Edition>Matutina</b:Edition>
    <b:YearAccessed>2025</b:YearAccessed>
    <b:MonthAccessed>enero</b:MonthAccessed>
    <b:DayAccessed>31</b:DayAccessed>
    <b:RefOrder>2</b:RefOrder>
  </b:Source>
  <b:Source>
    <b:Tag>Dec02</b:Tag>
    <b:SourceType>ArticleInAPeriodical</b:SourceType>
    <b:Guid>{D282D338-D09D-45B8-9F67-1F731FD828DF}</b:Guid>
    <b:Title>Decreto del Instituto Federal de Acceso a la Información Pública</b:Title>
    <b:PeriodicalTitle>Diario Oficial de la Federación</b:PeriodicalTitle>
    <b:Year>2002</b:Year>
    <b:Month>diciembre</b:Month>
    <b:Day>24</b:Day>
    <b:Pages>5- 6</b:Pages>
    <b:URL>file:///D:/Users/jodvelazquez/Downloads/24122002-MAT.pdf</b:URL>
    <b:City>Méxcico</b:City>
    <b:Edition>Matutina</b:Edition>
    <b:Volume>DXCI</b:Volume>
    <b:Issue>17</b:Issue>
    <b:YearAccessed>2025</b:YearAccessed>
    <b:MonthAccessed>diciembre</b:MonthAccessed>
    <b:DayAccessed>31</b:DayAccessed>
    <b:RefOrder>3</b:RefOrder>
  </b:Source>
  <b:Source>
    <b:Tag>Dec07</b:Tag>
    <b:SourceType>ArticleInAPeriodical</b:SourceType>
    <b:Guid>{36A7F941-4D86-4367-AF11-E29D74AD4A27}</b:Guid>
    <b:Title>Decreto por el que se adiciona un segundo párrafo con siete fracciones al artículo 6o, de la Constitución Política de los Estados Unidos Mexicanos</b:Title>
    <b:PeriodicalTitle>Diario Oficial de la Federación</b:PeriodicalTitle>
    <b:Year>2007</b:Year>
    <b:Month>julio</b:Month>
    <b:Day>20</b:Day>
    <b:Pages>2- 3</b:Pages>
    <b:URL>file:///D:/Users/jodvelazquez/Downloads/20072007-MAT.pdf</b:URL>
    <b:City>México</b:City>
    <b:Edition>Matutina</b:Edition>
    <b:Volume>DCXLVI</b:Volume>
    <b:Issue>16</b:Issue>
    <b:YearAccessed>2025</b:YearAccessed>
    <b:MonthAccessed>enero</b:MonthAccessed>
    <b:DayAccessed>31</b:DayAccessed>
    <b:Author>
      <b:Author>
        <b:Corporate>Congreso de la Unión</b:Corporate>
      </b:Author>
    </b:Author>
    <b:RefOrder>4</b:RefOrder>
  </b:Source>
  <b:Source>
    <b:Tag>Con132</b:Tag>
    <b:SourceType>ArticleInAPeriodical</b:SourceType>
    <b:Guid>{5053AC66-4CE9-4043-BD39-0DA00A7E815F}</b:Guid>
    <b:Author>
      <b:Author>
        <b:Corporate>Congreso del Estado de Guanajuato</b:Corporate>
      </b:Author>
    </b:Author>
    <b:Title>Decreto Número 100, expedido por la Sexagésima Segunda Legislatura Constitucional del Estado Libre y Soberano de Guanajuato, mediante el cual, se reforman y adicionan diversos Artículos de la Constitución Política para el Estado de Guanajuato</b:Title>
    <b:PeriodicalTitle>Periódico Oficial del Gobierno del Estado de Guanajuato</b:PeriodicalTitle>
    <b:Year>2013</b:Year>
    <b:Month>diciembre</b:Month>
    <b:Day>6</b:Day>
    <b:Pages>3- 10</b:Pages>
    <b:URL>https://backperiodico.guanajuato.gob.mx/api/Periodico/DescargarPeriodicoId/4860</b:URL>
    <b:Issue>195</b:Issue>
    <b:YearAccessed>2025</b:YearAccessed>
    <b:MonthAccessed>enero</b:MonthAccessed>
    <b:DayAccessed>31</b:DayAccessed>
    <b:RefOrder>5</b:RefOrder>
  </b:Source>
  <b:Source>
    <b:Tag>Con133</b:Tag>
    <b:SourceType>ArticleInAPeriodical</b:SourceType>
    <b:Guid>{8FB4D6D8-A513-46C3-A37C-C89C9F210C1A}</b:Guid>
    <b:Author>
      <b:Author>
        <b:Corporate>Congreso del Estado de Guanajuato</b:Corporate>
      </b:Author>
    </b:Author>
    <b:Title>Ley de Transparencia y Acceso a la Información Pública para el Estado y los Municipios de Guanajuato</b:Title>
    <b:PeriodicalTitle>Periódico Oficial del Gobierno de Estado de Guanajuato</b:PeriodicalTitle>
    <b:Year>2013</b:Year>
    <b:Month>octubre</b:Month>
    <b:Day>18</b:Day>
    <b:Pages>3- 44</b:Pages>
    <b:URL>https://backperiodico.guanajuato.gob.mx/api/Periodico/DescargarPeriodicoId/4667</b:URL>
    <b:City>Guanajuato</b:City>
    <b:Issue>167</b:Issue>
    <b:YearAccessed>2025</b:YearAccessed>
    <b:MonthAccessed>enero</b:MonthAccessed>
    <b:DayAccessed>31</b:DayAccessed>
    <b:RefOrder>6</b:RefOrder>
  </b:Source>
  <b:Source>
    <b:Tag>Con</b:Tag>
    <b:SourceType>ArticleInAPeriodical</b:SourceType>
    <b:Guid>{5D80A819-B38E-46AC-8925-2E08558DC554}</b:Guid>
    <b:Title>Reglamento Interior del Instituto de Acceso a la Información pública del Estado de Guanajuato</b:Title>
    <b:Author>
      <b:Author>
        <b:Corporate>Consejo General del Instituto de Acceso a la Información Pública del Estado de Guanajuato,</b:Corporate>
      </b:Author>
    </b:Author>
    <b:PeriodicalTitle>Periódico Oficial del Gobierno de Estado de Guanajuato</b:PeriodicalTitle>
    <b:Year>2004</b:Year>
    <b:Month>agosto</b:Month>
    <b:Day>20</b:Day>
    <b:Pages>16- 47</b:Pages>
    <b:URL>https://backperiodico.guanajuato.gob.mx/api/Periodico/DescargarPeriodicoId/1175</b:URL>
    <b:City>Guanajuato</b:City>
    <b:YearAccessed>2025</b:YearAccessed>
    <b:MonthAccessed>enero</b:MonthAccessed>
    <b:DayAccessed>31</b:DayAccessed>
    <b:RefOrder>7</b:RefOrder>
  </b:Source>
</b:Sources>
</file>

<file path=customXml/itemProps1.xml><?xml version="1.0" encoding="utf-8"?>
<ds:datastoreItem xmlns:ds="http://schemas.openxmlformats.org/officeDocument/2006/customXml" ds:itemID="{F259D05F-5055-4CA9-86F2-757D4AF174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14</Pages>
  <Words>4185</Words>
  <Characters>23021</Characters>
  <Application>Microsoft Office Word</Application>
  <DocSecurity>0</DocSecurity>
  <Lines>191</Lines>
  <Paragraphs>54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José de Jesús JdJVH. Velázquez Hernández</dc:creator>
  <cp:keywords/>
  <dc:description/>
  <cp:lastModifiedBy>Paola Lopez</cp:lastModifiedBy>
  <cp:revision>2</cp:revision>
  <dcterms:created xsi:type="dcterms:W3CDTF">2025-02-04T14:59:00Z</dcterms:created>
  <dcterms:modified xsi:type="dcterms:W3CDTF">2025-02-04T14:59:00Z</dcterms:modified>
</cp:coreProperties>
</file>