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05D8A8" w14:textId="3F2186E8" w:rsidR="00FC7587" w:rsidRPr="0057530C" w:rsidRDefault="0057530C" w:rsidP="0057530C">
      <w:pPr>
        <w:pStyle w:val="Cuerpo"/>
        <w:spacing w:line="276" w:lineRule="auto"/>
        <w:jc w:val="center"/>
        <w:rPr>
          <w:rFonts w:ascii="Arial" w:hAnsi="Arial" w:cs="Arial"/>
          <w:b/>
          <w:bCs/>
          <w:color w:val="auto"/>
          <w:spacing w:val="5"/>
          <w:sz w:val="32"/>
          <w:szCs w:val="32"/>
        </w:rPr>
      </w:pPr>
      <w:r w:rsidRPr="0057530C">
        <w:rPr>
          <w:rFonts w:ascii="Arial" w:hAnsi="Arial" w:cs="Arial"/>
          <w:b/>
          <w:bCs/>
          <w:color w:val="auto"/>
          <w:spacing w:val="5"/>
          <w:sz w:val="32"/>
          <w:szCs w:val="32"/>
        </w:rPr>
        <w:t>EVOLUCIÓN LEGAL DEL IACIP EN TRANSPARENCIA Y PROTECCIÓN DE DATOS</w:t>
      </w:r>
      <w:r>
        <w:rPr>
          <w:rFonts w:ascii="Arial" w:hAnsi="Arial" w:cs="Arial"/>
          <w:b/>
          <w:bCs/>
          <w:color w:val="auto"/>
          <w:spacing w:val="5"/>
          <w:sz w:val="32"/>
          <w:szCs w:val="32"/>
        </w:rPr>
        <w:t xml:space="preserve"> PERSONALES.</w:t>
      </w:r>
    </w:p>
    <w:p w14:paraId="06D44914" w14:textId="77777777" w:rsidR="0057530C" w:rsidRDefault="0057530C" w:rsidP="0057530C">
      <w:pPr>
        <w:pStyle w:val="Cuerpo"/>
        <w:spacing w:line="276" w:lineRule="auto"/>
        <w:jc w:val="both"/>
        <w:rPr>
          <w:rFonts w:ascii="Arial" w:hAnsi="Arial" w:cs="Arial"/>
          <w:b/>
          <w:bCs/>
          <w:color w:val="auto"/>
          <w:spacing w:val="5"/>
          <w:sz w:val="24"/>
          <w:szCs w:val="24"/>
        </w:rPr>
      </w:pPr>
    </w:p>
    <w:p w14:paraId="2C9DECD1" w14:textId="77777777" w:rsidR="0057530C" w:rsidRDefault="0057530C" w:rsidP="0057530C">
      <w:pPr>
        <w:pStyle w:val="Cuerpo"/>
        <w:spacing w:line="276" w:lineRule="auto"/>
        <w:jc w:val="both"/>
        <w:rPr>
          <w:rFonts w:ascii="Arial" w:hAnsi="Arial" w:cs="Arial"/>
          <w:b/>
          <w:bCs/>
          <w:color w:val="auto"/>
          <w:spacing w:val="5"/>
          <w:sz w:val="24"/>
          <w:szCs w:val="24"/>
        </w:rPr>
      </w:pPr>
    </w:p>
    <w:p w14:paraId="045D5BBB" w14:textId="77777777" w:rsidR="0057530C" w:rsidRDefault="0057530C" w:rsidP="0057530C">
      <w:pPr>
        <w:pStyle w:val="Cuerpo"/>
        <w:spacing w:line="276" w:lineRule="auto"/>
        <w:jc w:val="both"/>
        <w:rPr>
          <w:rFonts w:ascii="Arial" w:hAnsi="Arial" w:cs="Arial"/>
          <w:b/>
          <w:bCs/>
          <w:i/>
          <w:iCs/>
          <w:color w:val="auto"/>
          <w:spacing w:val="5"/>
          <w:sz w:val="24"/>
          <w:szCs w:val="24"/>
        </w:rPr>
      </w:pPr>
      <w:r w:rsidRPr="0057530C">
        <w:rPr>
          <w:rFonts w:ascii="Arial" w:hAnsi="Arial" w:cs="Arial"/>
          <w:b/>
          <w:bCs/>
          <w:i/>
          <w:iCs/>
          <w:color w:val="auto"/>
          <w:spacing w:val="5"/>
          <w:sz w:val="24"/>
          <w:szCs w:val="24"/>
        </w:rPr>
        <w:t>Resumen</w:t>
      </w:r>
      <w:r>
        <w:rPr>
          <w:rFonts w:ascii="Arial" w:hAnsi="Arial" w:cs="Arial"/>
          <w:b/>
          <w:bCs/>
          <w:i/>
          <w:iCs/>
          <w:color w:val="auto"/>
          <w:spacing w:val="5"/>
          <w:sz w:val="24"/>
          <w:szCs w:val="24"/>
        </w:rPr>
        <w:t xml:space="preserve"> (abstract)</w:t>
      </w:r>
      <w:r w:rsidRPr="0057530C">
        <w:rPr>
          <w:rFonts w:ascii="Arial" w:hAnsi="Arial" w:cs="Arial"/>
          <w:b/>
          <w:bCs/>
          <w:i/>
          <w:iCs/>
          <w:color w:val="auto"/>
          <w:spacing w:val="5"/>
          <w:sz w:val="24"/>
          <w:szCs w:val="24"/>
        </w:rPr>
        <w:t xml:space="preserve">: </w:t>
      </w:r>
    </w:p>
    <w:p w14:paraId="1EE110B0" w14:textId="7E594E09" w:rsidR="0057530C" w:rsidRPr="0057530C" w:rsidRDefault="0057530C" w:rsidP="0057530C">
      <w:pPr>
        <w:pStyle w:val="Cuerpo"/>
        <w:spacing w:line="276" w:lineRule="auto"/>
        <w:jc w:val="both"/>
        <w:rPr>
          <w:rFonts w:ascii="Arial" w:hAnsi="Arial" w:cs="Arial"/>
          <w:i/>
          <w:iCs/>
          <w:color w:val="auto"/>
          <w:spacing w:val="5"/>
          <w:sz w:val="24"/>
          <w:szCs w:val="24"/>
        </w:rPr>
      </w:pPr>
      <w:r w:rsidRPr="0057530C">
        <w:rPr>
          <w:rFonts w:ascii="Arial" w:hAnsi="Arial" w:cs="Arial"/>
          <w:i/>
          <w:iCs/>
          <w:color w:val="auto"/>
          <w:spacing w:val="5"/>
          <w:sz w:val="24"/>
          <w:szCs w:val="24"/>
        </w:rPr>
        <w:t>El Instituto de Acceso a la Información Pública para el Estado de Guanajuato (IACIP) tiene una trayectoria legal marcada por la evolución de leyes locales y reformas constitucionales que garantizan los derechos de acceso a la información y protección de datos personales. Fundado en 2003 tras la promulgación de la primera Ley de Transparencia en el estado, el IACIP se estableció</w:t>
      </w:r>
      <w:r>
        <w:rPr>
          <w:rFonts w:ascii="Arial" w:hAnsi="Arial" w:cs="Arial"/>
          <w:i/>
          <w:iCs/>
          <w:color w:val="auto"/>
          <w:spacing w:val="5"/>
          <w:sz w:val="24"/>
          <w:szCs w:val="24"/>
        </w:rPr>
        <w:t xml:space="preserve">, primero, </w:t>
      </w:r>
      <w:r w:rsidRPr="0057530C">
        <w:rPr>
          <w:rFonts w:ascii="Arial" w:hAnsi="Arial" w:cs="Arial"/>
          <w:i/>
          <w:iCs/>
          <w:color w:val="auto"/>
          <w:spacing w:val="5"/>
          <w:sz w:val="24"/>
          <w:szCs w:val="24"/>
        </w:rPr>
        <w:t xml:space="preserve">como un organismo público descentralizado </w:t>
      </w:r>
      <w:r>
        <w:rPr>
          <w:rFonts w:ascii="Arial" w:hAnsi="Arial" w:cs="Arial"/>
          <w:i/>
          <w:iCs/>
          <w:color w:val="auto"/>
          <w:spacing w:val="5"/>
          <w:sz w:val="24"/>
          <w:szCs w:val="24"/>
        </w:rPr>
        <w:t xml:space="preserve">y posteriormente como organismo constitucionalmente autónomo, </w:t>
      </w:r>
      <w:r w:rsidRPr="0057530C">
        <w:rPr>
          <w:rFonts w:ascii="Arial" w:hAnsi="Arial" w:cs="Arial"/>
          <w:i/>
          <w:iCs/>
          <w:color w:val="auto"/>
          <w:spacing w:val="5"/>
          <w:sz w:val="24"/>
          <w:szCs w:val="24"/>
        </w:rPr>
        <w:t>para promover la transparencia y la rendición de cuentas.</w:t>
      </w:r>
    </w:p>
    <w:p w14:paraId="3B4A0103" w14:textId="77777777" w:rsidR="0057530C" w:rsidRPr="0057530C" w:rsidRDefault="0057530C" w:rsidP="0057530C">
      <w:pPr>
        <w:pStyle w:val="Cuerpo"/>
        <w:spacing w:line="276" w:lineRule="auto"/>
        <w:jc w:val="both"/>
        <w:rPr>
          <w:rFonts w:ascii="Arial" w:hAnsi="Arial" w:cs="Arial"/>
          <w:i/>
          <w:iCs/>
          <w:color w:val="auto"/>
          <w:spacing w:val="5"/>
          <w:sz w:val="24"/>
          <w:szCs w:val="24"/>
        </w:rPr>
      </w:pPr>
    </w:p>
    <w:p w14:paraId="21159819" w14:textId="77777777" w:rsidR="0057530C" w:rsidRPr="0057530C" w:rsidRDefault="0057530C" w:rsidP="0057530C">
      <w:pPr>
        <w:pStyle w:val="Cuerpo"/>
        <w:spacing w:line="276" w:lineRule="auto"/>
        <w:jc w:val="both"/>
        <w:rPr>
          <w:rFonts w:ascii="Arial" w:hAnsi="Arial" w:cs="Arial"/>
          <w:i/>
          <w:iCs/>
          <w:color w:val="auto"/>
          <w:spacing w:val="5"/>
          <w:sz w:val="24"/>
          <w:szCs w:val="24"/>
        </w:rPr>
      </w:pPr>
      <w:r w:rsidRPr="0057530C">
        <w:rPr>
          <w:rFonts w:ascii="Arial" w:hAnsi="Arial" w:cs="Arial"/>
          <w:i/>
          <w:iCs/>
          <w:color w:val="auto"/>
          <w:spacing w:val="5"/>
          <w:sz w:val="24"/>
          <w:szCs w:val="24"/>
        </w:rPr>
        <w:t>Desde entonces, su marco normativo ha experimentado transformaciones significativas, incluyendo cuatro leyes de transparencia y dos de protección de datos personales, con las más recientes alineadas a legislaciones generales nacionales. Estos avances han fortalecido la autonomía del Instituto, ampliado las obligaciones de transparencia de los sujetos obligados, e incorporado principios de Gobierno Abierto, lo que refuerza la participación ciudadana y el resguardo de información sensible.</w:t>
      </w:r>
    </w:p>
    <w:p w14:paraId="5478BFE9" w14:textId="77777777" w:rsidR="0057530C" w:rsidRPr="0057530C" w:rsidRDefault="0057530C" w:rsidP="0057530C">
      <w:pPr>
        <w:pStyle w:val="Cuerpo"/>
        <w:spacing w:line="276" w:lineRule="auto"/>
        <w:jc w:val="both"/>
        <w:rPr>
          <w:rFonts w:ascii="Arial" w:hAnsi="Arial" w:cs="Arial"/>
          <w:i/>
          <w:iCs/>
          <w:color w:val="auto"/>
          <w:spacing w:val="5"/>
          <w:sz w:val="24"/>
          <w:szCs w:val="24"/>
        </w:rPr>
      </w:pPr>
    </w:p>
    <w:p w14:paraId="53D80ECE" w14:textId="37673CC4" w:rsidR="0057530C" w:rsidRPr="0057530C" w:rsidRDefault="0057530C" w:rsidP="0057530C">
      <w:pPr>
        <w:pStyle w:val="Cuerpo"/>
        <w:spacing w:line="276" w:lineRule="auto"/>
        <w:jc w:val="both"/>
        <w:rPr>
          <w:rFonts w:ascii="Arial" w:hAnsi="Arial" w:cs="Arial"/>
          <w:i/>
          <w:iCs/>
          <w:color w:val="auto"/>
          <w:spacing w:val="5"/>
          <w:sz w:val="24"/>
          <w:szCs w:val="24"/>
        </w:rPr>
      </w:pPr>
      <w:r w:rsidRPr="0057530C">
        <w:rPr>
          <w:rFonts w:ascii="Arial" w:hAnsi="Arial" w:cs="Arial"/>
          <w:i/>
          <w:iCs/>
          <w:color w:val="auto"/>
          <w:spacing w:val="5"/>
          <w:sz w:val="24"/>
          <w:szCs w:val="24"/>
        </w:rPr>
        <w:t>Palabras clave: transparencia, acceso a la información, protección de datos personales, IACIP, Guanajuato, autonomía, Gobierno Abierto, rendición de cuentas, marco normativo.</w:t>
      </w:r>
    </w:p>
    <w:p w14:paraId="02F29070" w14:textId="77777777" w:rsidR="0057530C" w:rsidRPr="0057530C" w:rsidRDefault="0057530C" w:rsidP="0057530C">
      <w:pPr>
        <w:pStyle w:val="Cuerpo"/>
        <w:spacing w:line="276" w:lineRule="auto"/>
        <w:jc w:val="both"/>
        <w:rPr>
          <w:rFonts w:ascii="Arial" w:hAnsi="Arial" w:cs="Arial"/>
          <w:b/>
          <w:bCs/>
          <w:i/>
          <w:iCs/>
          <w:color w:val="auto"/>
          <w:spacing w:val="5"/>
          <w:sz w:val="24"/>
          <w:szCs w:val="24"/>
        </w:rPr>
      </w:pPr>
    </w:p>
    <w:p w14:paraId="162B02A1" w14:textId="77777777" w:rsidR="00FC7587" w:rsidRPr="0057530C" w:rsidRDefault="00FC7587" w:rsidP="0057530C">
      <w:pPr>
        <w:pStyle w:val="Cuerpo"/>
        <w:spacing w:line="276" w:lineRule="auto"/>
        <w:jc w:val="both"/>
        <w:rPr>
          <w:rFonts w:ascii="Arial" w:hAnsi="Arial" w:cs="Arial"/>
          <w:spacing w:val="5"/>
          <w:sz w:val="24"/>
          <w:szCs w:val="24"/>
        </w:rPr>
      </w:pPr>
    </w:p>
    <w:p w14:paraId="62846B41" w14:textId="1F0B3804" w:rsidR="0057530C" w:rsidRPr="0057530C" w:rsidRDefault="0057530C" w:rsidP="0057530C">
      <w:pPr>
        <w:pStyle w:val="Cuerpo"/>
        <w:keepNext/>
        <w:framePr w:dropCap="drop" w:lines="3" w:wrap="around" w:vAnchor="text" w:hAnchor="text"/>
        <w:pBdr>
          <w:bottom w:val="none" w:sz="0" w:space="0" w:color="auto"/>
          <w:right w:val="none" w:sz="0" w:space="0" w:color="auto"/>
          <w:between w:val="none" w:sz="0" w:space="0" w:color="auto"/>
          <w:bar w:val="none" w:sz="0" w:color="auto"/>
        </w:pBdr>
        <w:spacing w:line="952" w:lineRule="exact"/>
        <w:jc w:val="both"/>
        <w:textAlignment w:val="baseline"/>
        <w:rPr>
          <w:rFonts w:ascii="Arial" w:hAnsi="Arial" w:cs="Arial"/>
          <w:spacing w:val="5"/>
          <w:position w:val="-10"/>
          <w:sz w:val="115"/>
          <w:szCs w:val="24"/>
        </w:rPr>
      </w:pPr>
      <w:r w:rsidRPr="0057530C">
        <w:rPr>
          <w:rFonts w:ascii="Arial" w:hAnsi="Arial" w:cs="Arial"/>
          <w:spacing w:val="5"/>
          <w:position w:val="-10"/>
          <w:sz w:val="115"/>
          <w:szCs w:val="24"/>
        </w:rPr>
        <w:t>L</w:t>
      </w:r>
    </w:p>
    <w:p w14:paraId="71EBB41E" w14:textId="6DE25607" w:rsidR="00F63C07" w:rsidRPr="0057530C" w:rsidRDefault="00F63C07"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a historia del Instituto de Acceso a la Información Pública para el Estado de Guanajuato está intrínsecamente ligada a los derechos de acceso a la información y protección de datos personales en México.</w:t>
      </w:r>
    </w:p>
    <w:p w14:paraId="7A69C653" w14:textId="77777777" w:rsidR="00F63C07" w:rsidRPr="0057530C" w:rsidRDefault="00F63C07" w:rsidP="0057530C">
      <w:pPr>
        <w:pStyle w:val="Cuerpo"/>
        <w:spacing w:line="276" w:lineRule="auto"/>
        <w:jc w:val="both"/>
        <w:rPr>
          <w:rFonts w:ascii="Arial" w:hAnsi="Arial" w:cs="Arial"/>
          <w:spacing w:val="5"/>
          <w:sz w:val="24"/>
          <w:szCs w:val="24"/>
        </w:rPr>
      </w:pPr>
    </w:p>
    <w:p w14:paraId="46EA5FDA" w14:textId="77777777" w:rsidR="00F63C07" w:rsidRPr="0057530C" w:rsidRDefault="00F63C07"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El reconocimiento del derecho de acceso a la información como un derecho constitucional en México tuvo lugar mediante la reforma al artículo 6º de la Constitución, la cual fue publicada en el Diario Oficial de la Federación el 6 de diciembre de 1977. En esta reforma se estableció que el Estado tenía la responsabilidad de garantizar el derecho de acceso a la información.</w:t>
      </w:r>
    </w:p>
    <w:p w14:paraId="286C1838" w14:textId="77777777" w:rsidR="00F63C07" w:rsidRPr="0057530C" w:rsidRDefault="00F63C07" w:rsidP="0057530C">
      <w:pPr>
        <w:pStyle w:val="Cuerpo"/>
        <w:spacing w:line="276" w:lineRule="auto"/>
        <w:jc w:val="both"/>
        <w:rPr>
          <w:rFonts w:ascii="Arial" w:hAnsi="Arial" w:cs="Arial"/>
          <w:spacing w:val="5"/>
          <w:sz w:val="24"/>
          <w:szCs w:val="24"/>
        </w:rPr>
      </w:pPr>
    </w:p>
    <w:p w14:paraId="55E9F702" w14:textId="77777777" w:rsidR="00F63C07" w:rsidRPr="0057530C" w:rsidRDefault="00F63C07"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lastRenderedPageBreak/>
        <w:t>A lo largo del tiempo, se realizaron varias reformas a la Constitución Política de los Estados Unidos Mexicanos para ampliar y definir con mayor claridad el derecho de acceso a la información. Estas reformas fueron publicadas en diferentes fechas, como el 20 de julio de 2007, el 13 de noviembre de 2007, el 11 de junio de 2013, el 7 de febrero de 2014 y el 29 de enero de 2016.</w:t>
      </w:r>
    </w:p>
    <w:p w14:paraId="0BB5D954" w14:textId="77777777" w:rsidR="00F63C07" w:rsidRPr="0057530C" w:rsidRDefault="00F63C07" w:rsidP="0057530C">
      <w:pPr>
        <w:pStyle w:val="Cuerpo"/>
        <w:spacing w:line="276" w:lineRule="auto"/>
        <w:jc w:val="both"/>
        <w:rPr>
          <w:rFonts w:ascii="Arial" w:hAnsi="Arial" w:cs="Arial"/>
          <w:spacing w:val="5"/>
          <w:sz w:val="24"/>
          <w:szCs w:val="24"/>
        </w:rPr>
      </w:pPr>
    </w:p>
    <w:p w14:paraId="5A5F1792" w14:textId="77777777" w:rsidR="00F63C07" w:rsidRPr="0057530C" w:rsidRDefault="00F63C07"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En México, la primera Ley de Transparencia, denominada </w:t>
      </w:r>
      <w:r w:rsidRPr="0057530C">
        <w:rPr>
          <w:rFonts w:ascii="Arial" w:hAnsi="Arial" w:cs="Arial"/>
          <w:i/>
          <w:iCs/>
          <w:spacing w:val="5"/>
          <w:sz w:val="24"/>
          <w:szCs w:val="24"/>
        </w:rPr>
        <w:t>Ley Federal de Transparencia y Acceso a la Información Pública Gubernamental</w:t>
      </w:r>
      <w:r w:rsidRPr="0057530C">
        <w:rPr>
          <w:rFonts w:ascii="Arial" w:hAnsi="Arial" w:cs="Arial"/>
          <w:spacing w:val="5"/>
          <w:sz w:val="24"/>
          <w:szCs w:val="24"/>
        </w:rPr>
        <w:t>, se publicó el 11 de junio de 2002. La promulgación de esta ley fue un hito crucial que llevó a la creación del Instituto Federal de Acceso a la Información Pública (IFAI), hoy conocido como el Instituto Nacional de Transparencia, Acceso a la Información y Protección de Datos Personales (INAI). Además, impulsó la creación de leyes locales relacionadas y, por consiguiente, de los organismos garantes locales. Esta ley también abrió la puerta a mecanismos que permitieran el ejercicio pleno del derecho de acceso a la información, facilitando el ejercicio y goce efectivos de otros derechos.</w:t>
      </w:r>
    </w:p>
    <w:p w14:paraId="0D1834C1" w14:textId="77777777" w:rsidR="00F63C07" w:rsidRPr="0057530C" w:rsidRDefault="00F63C07" w:rsidP="0057530C">
      <w:pPr>
        <w:pStyle w:val="Cuerpo"/>
        <w:spacing w:line="276" w:lineRule="auto"/>
        <w:jc w:val="both"/>
        <w:rPr>
          <w:rFonts w:ascii="Arial" w:hAnsi="Arial" w:cs="Arial"/>
          <w:spacing w:val="5"/>
          <w:sz w:val="24"/>
          <w:szCs w:val="24"/>
        </w:rPr>
      </w:pPr>
    </w:p>
    <w:p w14:paraId="74AC7520" w14:textId="71492E49" w:rsidR="00F63C07" w:rsidRPr="0057530C" w:rsidRDefault="00F63C07"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El 25 de octubre de 2002, el IFAI nació como resultado de la promulgación de la mencionada Ley Federal de Transparencia. En ese mismo año, un decreto presidencial formalizó al IFAI como un organismo descentralizado, no sectorizado, con personalidad jurídica y patrimonio propio. </w:t>
      </w:r>
    </w:p>
    <w:p w14:paraId="1716427D" w14:textId="77777777" w:rsidR="00F63C07" w:rsidRPr="0057530C" w:rsidRDefault="00F63C07" w:rsidP="0057530C">
      <w:pPr>
        <w:pStyle w:val="Cuerpo"/>
        <w:spacing w:line="276" w:lineRule="auto"/>
        <w:jc w:val="both"/>
        <w:rPr>
          <w:rFonts w:ascii="Arial" w:hAnsi="Arial" w:cs="Arial"/>
          <w:spacing w:val="5"/>
          <w:sz w:val="24"/>
          <w:szCs w:val="24"/>
        </w:rPr>
      </w:pPr>
    </w:p>
    <w:p w14:paraId="3C3A4F2C" w14:textId="7C2CA65F" w:rsidR="00734923" w:rsidRPr="0057530C" w:rsidRDefault="00F63C07"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Con el establecimiento de estas leyes y la creación de instituciones encargadas de garantizar el acceso a la información y protección de datos personales, se sentaron las bases para una mayor transparencia y rendición de cuentas en México, fortaleciendo la democracia y el ejercicio de los derechos ciudadanos.</w:t>
      </w:r>
      <w:r w:rsidR="00734923" w:rsidRPr="0057530C">
        <w:rPr>
          <w:rFonts w:ascii="Arial" w:hAnsi="Arial" w:cs="Arial"/>
          <w:spacing w:val="5"/>
          <w:sz w:val="24"/>
          <w:szCs w:val="24"/>
        </w:rPr>
        <w:t xml:space="preserve"> </w:t>
      </w:r>
    </w:p>
    <w:p w14:paraId="33718755" w14:textId="2FEDA39A" w:rsidR="00065076" w:rsidRPr="0057530C" w:rsidRDefault="00065076" w:rsidP="0057530C">
      <w:pPr>
        <w:pStyle w:val="Cuerpo"/>
        <w:spacing w:line="276" w:lineRule="auto"/>
        <w:jc w:val="both"/>
        <w:rPr>
          <w:rFonts w:ascii="Arial" w:hAnsi="Arial" w:cs="Arial"/>
          <w:spacing w:val="5"/>
          <w:sz w:val="24"/>
          <w:szCs w:val="24"/>
        </w:rPr>
      </w:pPr>
    </w:p>
    <w:p w14:paraId="4B07E8E4" w14:textId="13C6823A" w:rsidR="00DA0E1D" w:rsidRDefault="00DA0E1D">
      <w:pPr>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Pr>
          <w:rFonts w:ascii="Arial" w:hAnsi="Arial" w:cs="Arial"/>
          <w:spacing w:val="5"/>
          <w:sz w:val="24"/>
          <w:szCs w:val="24"/>
        </w:rPr>
        <w:br w:type="page"/>
      </w:r>
    </w:p>
    <w:p w14:paraId="210CF18B" w14:textId="45F29013" w:rsidR="0064235D" w:rsidRPr="0057530C" w:rsidRDefault="0064235D" w:rsidP="0057530C">
      <w:pPr>
        <w:pStyle w:val="Cuerpo"/>
        <w:spacing w:line="276" w:lineRule="auto"/>
        <w:jc w:val="center"/>
        <w:rPr>
          <w:rFonts w:ascii="Arial" w:hAnsi="Arial" w:cs="Arial"/>
          <w:color w:val="2E74B5" w:themeColor="accent5" w:themeShade="BF"/>
          <w:spacing w:val="5"/>
          <w:sz w:val="24"/>
          <w:szCs w:val="24"/>
        </w:rPr>
      </w:pPr>
      <w:r w:rsidRPr="0057530C">
        <w:rPr>
          <w:rFonts w:ascii="Arial" w:hAnsi="Arial" w:cs="Arial"/>
          <w:b/>
          <w:bCs/>
          <w:color w:val="2E74B5" w:themeColor="accent5" w:themeShade="BF"/>
          <w:spacing w:val="5"/>
          <w:sz w:val="24"/>
          <w:szCs w:val="24"/>
        </w:rPr>
        <w:lastRenderedPageBreak/>
        <w:t>PRIMERA LEY</w:t>
      </w:r>
      <w:r w:rsidR="00D01AC5" w:rsidRPr="0057530C">
        <w:rPr>
          <w:rFonts w:ascii="Arial" w:hAnsi="Arial" w:cs="Arial"/>
          <w:b/>
          <w:bCs/>
          <w:color w:val="2E74B5" w:themeColor="accent5" w:themeShade="BF"/>
          <w:spacing w:val="5"/>
          <w:sz w:val="24"/>
          <w:szCs w:val="24"/>
        </w:rPr>
        <w:t xml:space="preserve"> DE TRANSPARENCIA</w:t>
      </w:r>
      <w:r w:rsidRPr="0057530C">
        <w:rPr>
          <w:rFonts w:ascii="Arial" w:hAnsi="Arial" w:cs="Arial"/>
          <w:b/>
          <w:bCs/>
          <w:color w:val="2E74B5" w:themeColor="accent5" w:themeShade="BF"/>
          <w:spacing w:val="5"/>
          <w:sz w:val="24"/>
          <w:szCs w:val="24"/>
        </w:rPr>
        <w:t>.</w:t>
      </w:r>
    </w:p>
    <w:p w14:paraId="6E871DAA" w14:textId="7DA8974B" w:rsidR="002C06CE" w:rsidRPr="0057530C" w:rsidRDefault="002C06CE" w:rsidP="0057530C">
      <w:pPr>
        <w:pStyle w:val="Cuerpo"/>
        <w:spacing w:line="276" w:lineRule="auto"/>
        <w:jc w:val="both"/>
        <w:rPr>
          <w:rFonts w:ascii="Arial" w:hAnsi="Arial" w:cs="Arial"/>
          <w:spacing w:val="5"/>
          <w:sz w:val="24"/>
          <w:szCs w:val="24"/>
        </w:rPr>
      </w:pPr>
    </w:p>
    <w:p w14:paraId="739F3C8A" w14:textId="0307EF93" w:rsidR="002C06CE" w:rsidRPr="0057530C" w:rsidRDefault="002C06CE" w:rsidP="0057530C">
      <w:pPr>
        <w:pStyle w:val="Cuerpo"/>
        <w:spacing w:line="276" w:lineRule="auto"/>
        <w:jc w:val="both"/>
        <w:rPr>
          <w:rFonts w:ascii="Arial" w:hAnsi="Arial" w:cs="Arial"/>
          <w:spacing w:val="5"/>
          <w:sz w:val="24"/>
          <w:szCs w:val="24"/>
        </w:rPr>
      </w:pPr>
      <w:r w:rsidRPr="0057530C">
        <w:rPr>
          <w:rFonts w:ascii="Arial" w:hAnsi="Arial" w:cs="Arial"/>
          <w:noProof/>
          <w:spacing w:val="5"/>
          <w:sz w:val="24"/>
          <w:szCs w:val="24"/>
        </w:rPr>
        <w:drawing>
          <wp:anchor distT="0" distB="0" distL="114300" distR="114300" simplePos="0" relativeHeight="251658240" behindDoc="1" locked="0" layoutInCell="1" allowOverlap="1" wp14:anchorId="5B762654" wp14:editId="53A3F6EB">
            <wp:simplePos x="0" y="0"/>
            <wp:positionH relativeFrom="margin">
              <wp:align>left</wp:align>
            </wp:positionH>
            <wp:positionV relativeFrom="paragraph">
              <wp:posOffset>46828</wp:posOffset>
            </wp:positionV>
            <wp:extent cx="2700000" cy="3643200"/>
            <wp:effectExtent l="133350" t="114300" r="139065" b="167005"/>
            <wp:wrapTight wrapText="bothSides">
              <wp:wrapPolygon edited="0">
                <wp:start x="-915" y="-678"/>
                <wp:lineTo x="-1067" y="21235"/>
                <wp:lineTo x="-762" y="22477"/>
                <wp:lineTo x="22103" y="22477"/>
                <wp:lineTo x="22560" y="21235"/>
                <wp:lineTo x="22560" y="1355"/>
                <wp:lineTo x="22255" y="-678"/>
                <wp:lineTo x="-915" y="-678"/>
              </wp:wrapPolygon>
            </wp:wrapTight>
            <wp:docPr id="1871767978" name="Imagen 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1767978" name="Imagen 1" descr="Texto&#10;&#10;Descripción generada automáticamente"/>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00000" cy="36432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margin">
              <wp14:pctWidth>0</wp14:pctWidth>
            </wp14:sizeRelH>
            <wp14:sizeRelV relativeFrom="margin">
              <wp14:pctHeight>0</wp14:pctHeight>
            </wp14:sizeRelV>
          </wp:anchor>
        </w:drawing>
      </w:r>
    </w:p>
    <w:p w14:paraId="0FD03E42" w14:textId="01F08416" w:rsidR="0064235D" w:rsidRPr="0057530C" w:rsidRDefault="0064235D"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En Guanajuato, se promulgó la primera Ley de información, conocida como la </w:t>
      </w:r>
      <w:r w:rsidRPr="0057530C">
        <w:rPr>
          <w:rFonts w:ascii="Arial" w:hAnsi="Arial" w:cs="Arial"/>
          <w:b/>
          <w:bCs/>
          <w:spacing w:val="5"/>
          <w:sz w:val="24"/>
          <w:szCs w:val="24"/>
        </w:rPr>
        <w:t>Ley de Transparencia y Acceso a la Información Pública para el Estado y los Municipios de Guanajuato</w:t>
      </w:r>
      <w:r w:rsidRPr="0057530C">
        <w:rPr>
          <w:rFonts w:ascii="Arial" w:hAnsi="Arial" w:cs="Arial"/>
          <w:spacing w:val="5"/>
          <w:sz w:val="24"/>
          <w:szCs w:val="24"/>
        </w:rPr>
        <w:t xml:space="preserve">. Esta ley se publicó en el Periódico Oficial del Gobierno del Estado de Guanajuato el </w:t>
      </w:r>
      <w:r w:rsidRPr="0057530C">
        <w:rPr>
          <w:rFonts w:ascii="Arial" w:hAnsi="Arial" w:cs="Arial"/>
          <w:b/>
          <w:bCs/>
          <w:spacing w:val="5"/>
          <w:sz w:val="24"/>
          <w:szCs w:val="24"/>
        </w:rPr>
        <w:t>29 de julio de 2003</w:t>
      </w:r>
      <w:r w:rsidRPr="0057530C">
        <w:rPr>
          <w:rFonts w:ascii="Arial" w:hAnsi="Arial" w:cs="Arial"/>
          <w:spacing w:val="5"/>
          <w:sz w:val="24"/>
          <w:szCs w:val="24"/>
        </w:rPr>
        <w:t>, y dio origen al Instituto de Acceso a la Información Pública como un organismo público descentralizado.</w:t>
      </w:r>
    </w:p>
    <w:p w14:paraId="42F12120" w14:textId="77777777" w:rsidR="0064235D" w:rsidRPr="0057530C" w:rsidRDefault="0064235D" w:rsidP="0057530C">
      <w:pPr>
        <w:pStyle w:val="Cuerpo"/>
        <w:spacing w:line="276" w:lineRule="auto"/>
        <w:jc w:val="both"/>
        <w:rPr>
          <w:rFonts w:ascii="Arial" w:hAnsi="Arial" w:cs="Arial"/>
          <w:spacing w:val="5"/>
          <w:sz w:val="24"/>
          <w:szCs w:val="24"/>
        </w:rPr>
      </w:pPr>
    </w:p>
    <w:p w14:paraId="3790967A" w14:textId="1DCDD109" w:rsidR="0064235D" w:rsidRPr="0057530C" w:rsidRDefault="0064235D"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El Instituto estaba conformado por 3 consejeros, propuestos cada uno por los 3 Poderes del Estado, y un director general. </w:t>
      </w:r>
      <w:r w:rsidRPr="0057530C">
        <w:rPr>
          <w:rFonts w:ascii="Arial" w:hAnsi="Arial" w:cs="Arial"/>
          <w:b/>
          <w:bCs/>
          <w:spacing w:val="5"/>
          <w:sz w:val="24"/>
          <w:szCs w:val="24"/>
        </w:rPr>
        <w:t>Los consejeros y el director general debían ser designados a más tardar el 10 de agosto de 2003</w:t>
      </w:r>
      <w:r w:rsidRPr="0057530C">
        <w:rPr>
          <w:rFonts w:ascii="Arial" w:hAnsi="Arial" w:cs="Arial"/>
          <w:spacing w:val="5"/>
          <w:sz w:val="24"/>
          <w:szCs w:val="24"/>
        </w:rPr>
        <w:t xml:space="preserve"> y su renovación se realizaba escalonadamente, con duraciones de 2, 3 y 4 años para los consejeros del Poder Ejecutivo, Legislativo y Judicial respectivamente.</w:t>
      </w:r>
    </w:p>
    <w:p w14:paraId="4D5B633F" w14:textId="77777777" w:rsidR="00FD597F" w:rsidRPr="0057530C" w:rsidRDefault="00FD597F" w:rsidP="0057530C">
      <w:pPr>
        <w:pStyle w:val="Cuerpo"/>
        <w:spacing w:line="276" w:lineRule="auto"/>
        <w:jc w:val="both"/>
        <w:rPr>
          <w:rFonts w:ascii="Arial" w:hAnsi="Arial" w:cs="Arial"/>
          <w:spacing w:val="5"/>
          <w:sz w:val="24"/>
          <w:szCs w:val="24"/>
        </w:rPr>
      </w:pPr>
    </w:p>
    <w:p w14:paraId="5274557C" w14:textId="49F98144" w:rsidR="00FD597F" w:rsidRPr="0057530C" w:rsidRDefault="004859AD" w:rsidP="0057530C">
      <w:pPr>
        <w:pStyle w:val="Cuerpo"/>
        <w:spacing w:line="276" w:lineRule="auto"/>
        <w:jc w:val="both"/>
        <w:rPr>
          <w:rFonts w:ascii="Arial" w:hAnsi="Arial" w:cs="Arial"/>
          <w:spacing w:val="5"/>
          <w:sz w:val="24"/>
          <w:szCs w:val="24"/>
        </w:rPr>
      </w:pPr>
      <w:r w:rsidRPr="0057530C">
        <w:rPr>
          <w:rFonts w:ascii="Arial" w:hAnsi="Arial" w:cs="Arial"/>
          <w:b/>
          <w:bCs/>
          <w:spacing w:val="5"/>
          <w:sz w:val="24"/>
          <w:szCs w:val="24"/>
        </w:rPr>
        <w:t xml:space="preserve">Con la integración de su Consejo nace el </w:t>
      </w:r>
      <w:r w:rsidR="00FD597F" w:rsidRPr="0057530C">
        <w:rPr>
          <w:rFonts w:ascii="Arial" w:hAnsi="Arial" w:cs="Arial"/>
          <w:b/>
          <w:bCs/>
          <w:spacing w:val="5"/>
          <w:sz w:val="24"/>
          <w:szCs w:val="24"/>
        </w:rPr>
        <w:t>IACIP</w:t>
      </w:r>
      <w:r w:rsidRPr="0057530C">
        <w:rPr>
          <w:rFonts w:ascii="Arial" w:hAnsi="Arial" w:cs="Arial"/>
          <w:b/>
          <w:bCs/>
          <w:spacing w:val="5"/>
          <w:sz w:val="24"/>
          <w:szCs w:val="24"/>
        </w:rPr>
        <w:t xml:space="preserve">, </w:t>
      </w:r>
      <w:r w:rsidR="00444CFF" w:rsidRPr="0057530C">
        <w:rPr>
          <w:rFonts w:ascii="Arial" w:hAnsi="Arial" w:cs="Arial"/>
          <w:b/>
          <w:bCs/>
          <w:spacing w:val="5"/>
          <w:sz w:val="24"/>
          <w:szCs w:val="24"/>
        </w:rPr>
        <w:t xml:space="preserve">quedando formalmente instalado </w:t>
      </w:r>
      <w:r w:rsidRPr="0057530C">
        <w:rPr>
          <w:rFonts w:ascii="Arial" w:hAnsi="Arial" w:cs="Arial"/>
          <w:b/>
          <w:bCs/>
          <w:spacing w:val="5"/>
          <w:sz w:val="24"/>
          <w:szCs w:val="24"/>
        </w:rPr>
        <w:t xml:space="preserve">el día </w:t>
      </w:r>
      <w:r w:rsidR="00444CFF" w:rsidRPr="0057530C">
        <w:rPr>
          <w:rFonts w:ascii="Arial" w:hAnsi="Arial" w:cs="Arial"/>
          <w:b/>
          <w:bCs/>
          <w:spacing w:val="5"/>
          <w:sz w:val="24"/>
          <w:szCs w:val="24"/>
        </w:rPr>
        <w:t>1 de noviembre de 2003.</w:t>
      </w:r>
    </w:p>
    <w:p w14:paraId="17D49D72" w14:textId="77777777" w:rsidR="002D65EF" w:rsidRPr="0057530C" w:rsidRDefault="002D65EF" w:rsidP="0057530C">
      <w:pPr>
        <w:pStyle w:val="Cuerpo"/>
        <w:spacing w:line="276" w:lineRule="auto"/>
        <w:jc w:val="both"/>
        <w:rPr>
          <w:rFonts w:ascii="Arial" w:hAnsi="Arial" w:cs="Arial"/>
          <w:spacing w:val="5"/>
          <w:sz w:val="24"/>
          <w:szCs w:val="24"/>
        </w:rPr>
      </w:pPr>
    </w:p>
    <w:p w14:paraId="5C1CC8CD" w14:textId="0630B912" w:rsidR="0064235D" w:rsidRPr="0057530C" w:rsidRDefault="0064235D"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Esta ley abarcaba a los 3 poderes, a los ayuntamientos y a 5 organismos autónomos</w:t>
      </w:r>
      <w:r w:rsidR="00DA0E1D">
        <w:rPr>
          <w:rFonts w:ascii="Arial" w:hAnsi="Arial" w:cs="Arial"/>
          <w:spacing w:val="5"/>
          <w:sz w:val="24"/>
          <w:szCs w:val="24"/>
        </w:rPr>
        <w:t>:</w:t>
      </w:r>
      <w:r w:rsidRPr="0057530C">
        <w:rPr>
          <w:rFonts w:ascii="Arial" w:hAnsi="Arial" w:cs="Arial"/>
          <w:spacing w:val="5"/>
          <w:sz w:val="24"/>
          <w:szCs w:val="24"/>
        </w:rPr>
        <w:t xml:space="preserve"> </w:t>
      </w:r>
      <w:r w:rsidR="00DA0E1D" w:rsidRPr="00DA0E1D">
        <w:rPr>
          <w:rFonts w:ascii="Arial" w:hAnsi="Arial" w:cs="Arial"/>
          <w:spacing w:val="5"/>
          <w:sz w:val="24"/>
          <w:szCs w:val="24"/>
        </w:rPr>
        <w:t>Instituto Electoral del Estado de Guanajuato (IEEG), Tribunal Estatal Electoral de Guanajuato (TEEG), Tribunal de lo Contencioso Administrativo</w:t>
      </w:r>
      <w:r w:rsidR="00DA0E1D">
        <w:rPr>
          <w:rFonts w:ascii="Arial" w:hAnsi="Arial" w:cs="Arial"/>
          <w:spacing w:val="5"/>
          <w:sz w:val="24"/>
          <w:szCs w:val="24"/>
        </w:rPr>
        <w:t>, hoy Tribunal de Justicia Administrativa</w:t>
      </w:r>
      <w:r w:rsidR="00DA0E1D" w:rsidRPr="00DA0E1D">
        <w:rPr>
          <w:rFonts w:ascii="Arial" w:hAnsi="Arial" w:cs="Arial"/>
          <w:spacing w:val="5"/>
          <w:sz w:val="24"/>
          <w:szCs w:val="24"/>
        </w:rPr>
        <w:t xml:space="preserve"> (T</w:t>
      </w:r>
      <w:r w:rsidR="00DA0E1D">
        <w:rPr>
          <w:rFonts w:ascii="Arial" w:hAnsi="Arial" w:cs="Arial"/>
          <w:spacing w:val="5"/>
          <w:sz w:val="24"/>
          <w:szCs w:val="24"/>
        </w:rPr>
        <w:t>J</w:t>
      </w:r>
      <w:r w:rsidR="00DA0E1D" w:rsidRPr="00DA0E1D">
        <w:rPr>
          <w:rFonts w:ascii="Arial" w:hAnsi="Arial" w:cs="Arial"/>
          <w:spacing w:val="5"/>
          <w:sz w:val="24"/>
          <w:szCs w:val="24"/>
        </w:rPr>
        <w:t>A), Procuraduría de los Derechos Humanos del Estado de Guanajuato (PRODEHG) y Universidad de Guanajuato (UG).</w:t>
      </w:r>
      <w:r w:rsidRPr="0057530C">
        <w:rPr>
          <w:rFonts w:ascii="Arial" w:hAnsi="Arial" w:cs="Arial"/>
          <w:spacing w:val="5"/>
          <w:sz w:val="24"/>
          <w:szCs w:val="24"/>
        </w:rPr>
        <w:t xml:space="preserve"> como sujetos obligados. Cada uno de estos sujetos debía establecer su unidad de acceso a la información antes del 31 de enero de 2004 y comenzar sus funciones en ese mismo plazo. A partir del 31 de agosto de 2004, la ciudadanía tenía la posibilidad de presentar solicitudes de acceso a la información pública o de acceso y corrección de datos personales.</w:t>
      </w:r>
    </w:p>
    <w:p w14:paraId="57503F7B" w14:textId="77777777" w:rsidR="0064235D" w:rsidRPr="0057530C" w:rsidRDefault="0064235D" w:rsidP="0057530C">
      <w:pPr>
        <w:pStyle w:val="Cuerpo"/>
        <w:spacing w:line="276" w:lineRule="auto"/>
        <w:jc w:val="both"/>
        <w:rPr>
          <w:rFonts w:ascii="Arial" w:hAnsi="Arial" w:cs="Arial"/>
          <w:spacing w:val="5"/>
          <w:sz w:val="24"/>
          <w:szCs w:val="24"/>
        </w:rPr>
      </w:pPr>
    </w:p>
    <w:p w14:paraId="3CA037D0" w14:textId="77777777" w:rsidR="0064235D" w:rsidRPr="0057530C" w:rsidRDefault="0064235D"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La Ley de Transparencia y Acceso a la Información Pública establecía 20 obligaciones de transparencia que debían ser publicadas, entre las cuales se incluían aspectos como la normatividad, la estructura orgánica, el directorio de personal, el tabulador de sueldos, la información de la unidad de acceso a la información, las metas y objetivos, los trámites y servicios, el presupuesto asignado, los destinatarios de recursos públicos, las enajenaciones de bienes, los subsidios, los resultados de auditorías, las concesiones, las licencias y autorizaciones, el padrón inmobiliario, los contratos de obra pública, los informes de gestión, los empréstitos, las iniciativas de ley y su seguimiento, y la relación de solicitudes de información con sus respuestas.</w:t>
      </w:r>
    </w:p>
    <w:p w14:paraId="6989F024" w14:textId="77777777" w:rsidR="0064235D" w:rsidRPr="0057530C" w:rsidRDefault="0064235D" w:rsidP="0057530C">
      <w:pPr>
        <w:pStyle w:val="Cuerpo"/>
        <w:spacing w:line="276" w:lineRule="auto"/>
        <w:jc w:val="both"/>
        <w:rPr>
          <w:rFonts w:ascii="Arial" w:hAnsi="Arial" w:cs="Arial"/>
          <w:spacing w:val="5"/>
          <w:sz w:val="24"/>
          <w:szCs w:val="24"/>
        </w:rPr>
      </w:pPr>
    </w:p>
    <w:p w14:paraId="1BA662F0" w14:textId="6BCE7D27" w:rsidR="0064235D" w:rsidRPr="0057530C" w:rsidRDefault="0064235D"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El plazo establecido por esta ley para responder a las solicitudes de información era de </w:t>
      </w:r>
      <w:r w:rsidRPr="0057530C">
        <w:rPr>
          <w:rFonts w:ascii="Arial" w:hAnsi="Arial" w:cs="Arial"/>
          <w:b/>
          <w:bCs/>
          <w:spacing w:val="5"/>
          <w:sz w:val="24"/>
          <w:szCs w:val="24"/>
        </w:rPr>
        <w:t>20 días hábiles</w:t>
      </w:r>
      <w:r w:rsidRPr="0057530C">
        <w:rPr>
          <w:rFonts w:ascii="Arial" w:hAnsi="Arial" w:cs="Arial"/>
          <w:spacing w:val="5"/>
          <w:sz w:val="24"/>
          <w:szCs w:val="24"/>
        </w:rPr>
        <w:t>, con la posibilidad de una prórroga de 10 días adicionales. Como mecanismo de impugnación, la ley contemplaba el recurso de inconformidad.</w:t>
      </w:r>
    </w:p>
    <w:p w14:paraId="03B98CD2" w14:textId="77777777" w:rsidR="002D65EF" w:rsidRPr="0057530C" w:rsidRDefault="002D65EF" w:rsidP="0057530C">
      <w:pPr>
        <w:pStyle w:val="Cuerpo"/>
        <w:spacing w:line="276" w:lineRule="auto"/>
        <w:jc w:val="both"/>
        <w:rPr>
          <w:rFonts w:ascii="Arial" w:hAnsi="Arial" w:cs="Arial"/>
          <w:spacing w:val="5"/>
          <w:sz w:val="24"/>
          <w:szCs w:val="24"/>
        </w:rPr>
      </w:pPr>
    </w:p>
    <w:p w14:paraId="47526A6A" w14:textId="02CE3D54" w:rsidR="00C51251" w:rsidRPr="0057530C" w:rsidRDefault="00C51251"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La promoción de la Transparencia y la observancia de la nueva ley tenía dos facetas: primera, </w:t>
      </w:r>
      <w:r w:rsidR="00696FF6" w:rsidRPr="0057530C">
        <w:rPr>
          <w:rFonts w:ascii="Arial" w:hAnsi="Arial" w:cs="Arial"/>
          <w:spacing w:val="5"/>
          <w:sz w:val="24"/>
          <w:szCs w:val="24"/>
        </w:rPr>
        <w:t xml:space="preserve">difundir </w:t>
      </w:r>
      <w:r w:rsidRPr="0057530C">
        <w:rPr>
          <w:rFonts w:ascii="Arial" w:hAnsi="Arial" w:cs="Arial"/>
          <w:spacing w:val="5"/>
          <w:sz w:val="24"/>
          <w:szCs w:val="24"/>
        </w:rPr>
        <w:t>ante la sociedad el</w:t>
      </w:r>
      <w:r w:rsidR="00696FF6" w:rsidRPr="0057530C">
        <w:rPr>
          <w:rFonts w:ascii="Arial" w:hAnsi="Arial" w:cs="Arial"/>
          <w:spacing w:val="5"/>
          <w:sz w:val="24"/>
          <w:szCs w:val="24"/>
        </w:rPr>
        <w:t xml:space="preserve"> nuevo </w:t>
      </w:r>
      <w:r w:rsidRPr="0057530C">
        <w:rPr>
          <w:rFonts w:ascii="Arial" w:hAnsi="Arial" w:cs="Arial"/>
          <w:spacing w:val="5"/>
          <w:sz w:val="24"/>
          <w:szCs w:val="24"/>
        </w:rPr>
        <w:t>concepto de la transparencia y su utilidad como valor público, así como la difusión entre l</w:t>
      </w:r>
      <w:r w:rsidR="00696FF6" w:rsidRPr="0057530C">
        <w:rPr>
          <w:rFonts w:ascii="Arial" w:hAnsi="Arial" w:cs="Arial"/>
          <w:spacing w:val="5"/>
          <w:sz w:val="24"/>
          <w:szCs w:val="24"/>
        </w:rPr>
        <w:t>a</w:t>
      </w:r>
      <w:r w:rsidRPr="0057530C">
        <w:rPr>
          <w:rFonts w:ascii="Arial" w:hAnsi="Arial" w:cs="Arial"/>
          <w:spacing w:val="5"/>
          <w:sz w:val="24"/>
          <w:szCs w:val="24"/>
        </w:rPr>
        <w:t xml:space="preserve"> ciudadan</w:t>
      </w:r>
      <w:r w:rsidR="00696FF6" w:rsidRPr="0057530C">
        <w:rPr>
          <w:rFonts w:ascii="Arial" w:hAnsi="Arial" w:cs="Arial"/>
          <w:spacing w:val="5"/>
          <w:sz w:val="24"/>
          <w:szCs w:val="24"/>
        </w:rPr>
        <w:t>ía</w:t>
      </w:r>
      <w:r w:rsidRPr="0057530C">
        <w:rPr>
          <w:rFonts w:ascii="Arial" w:hAnsi="Arial" w:cs="Arial"/>
          <w:spacing w:val="5"/>
          <w:sz w:val="24"/>
          <w:szCs w:val="24"/>
        </w:rPr>
        <w:t xml:space="preserve"> de</w:t>
      </w:r>
      <w:r w:rsidR="00696FF6" w:rsidRPr="0057530C">
        <w:rPr>
          <w:rFonts w:ascii="Arial" w:hAnsi="Arial" w:cs="Arial"/>
          <w:spacing w:val="5"/>
          <w:sz w:val="24"/>
          <w:szCs w:val="24"/>
        </w:rPr>
        <w:t xml:space="preserve"> </w:t>
      </w:r>
      <w:r w:rsidRPr="0057530C">
        <w:rPr>
          <w:rFonts w:ascii="Arial" w:hAnsi="Arial" w:cs="Arial"/>
          <w:spacing w:val="5"/>
          <w:sz w:val="24"/>
          <w:szCs w:val="24"/>
        </w:rPr>
        <w:t>los procedimientos administrativos que tendrían que seguir para acceder a la información pública gubernamental.</w:t>
      </w:r>
      <w:r w:rsidR="00696FF6" w:rsidRPr="0057530C">
        <w:rPr>
          <w:rFonts w:ascii="Arial" w:hAnsi="Arial" w:cs="Arial"/>
          <w:spacing w:val="5"/>
          <w:sz w:val="24"/>
          <w:szCs w:val="24"/>
        </w:rPr>
        <w:t xml:space="preserve"> </w:t>
      </w:r>
      <w:r w:rsidRPr="0057530C">
        <w:rPr>
          <w:rFonts w:ascii="Arial" w:hAnsi="Arial" w:cs="Arial"/>
          <w:spacing w:val="5"/>
          <w:sz w:val="24"/>
          <w:szCs w:val="24"/>
        </w:rPr>
        <w:t>Segunda, una cara menos visible al público, pero igualmente importante: el establecimiento de</w:t>
      </w:r>
      <w:r w:rsidR="00696FF6" w:rsidRPr="0057530C">
        <w:rPr>
          <w:rFonts w:ascii="Arial" w:hAnsi="Arial" w:cs="Arial"/>
          <w:spacing w:val="5"/>
          <w:sz w:val="24"/>
          <w:szCs w:val="24"/>
        </w:rPr>
        <w:t xml:space="preserve"> </w:t>
      </w:r>
      <w:r w:rsidRPr="0057530C">
        <w:rPr>
          <w:rFonts w:ascii="Arial" w:hAnsi="Arial" w:cs="Arial"/>
          <w:spacing w:val="5"/>
          <w:sz w:val="24"/>
          <w:szCs w:val="24"/>
        </w:rPr>
        <w:t>lo que podemos llamar la cultura administrativa de la transparencia en el funcionamiento cotidiano de</w:t>
      </w:r>
      <w:r w:rsidR="00696FF6" w:rsidRPr="0057530C">
        <w:rPr>
          <w:rFonts w:ascii="Arial" w:hAnsi="Arial" w:cs="Arial"/>
          <w:spacing w:val="5"/>
          <w:sz w:val="24"/>
          <w:szCs w:val="24"/>
        </w:rPr>
        <w:t xml:space="preserve"> </w:t>
      </w:r>
      <w:r w:rsidRPr="0057530C">
        <w:rPr>
          <w:rFonts w:ascii="Arial" w:hAnsi="Arial" w:cs="Arial"/>
          <w:spacing w:val="5"/>
          <w:sz w:val="24"/>
          <w:szCs w:val="24"/>
        </w:rPr>
        <w:t>las organizaciones públicas</w:t>
      </w:r>
      <w:r w:rsidR="00696FF6" w:rsidRPr="0057530C">
        <w:rPr>
          <w:rFonts w:ascii="Arial" w:hAnsi="Arial" w:cs="Arial"/>
          <w:spacing w:val="5"/>
          <w:sz w:val="24"/>
          <w:szCs w:val="24"/>
        </w:rPr>
        <w:t>.</w:t>
      </w:r>
    </w:p>
    <w:p w14:paraId="64388C2B" w14:textId="77777777" w:rsidR="002D65EF" w:rsidRPr="0057530C" w:rsidRDefault="002D65EF" w:rsidP="0057530C">
      <w:pPr>
        <w:pStyle w:val="Cuerpo"/>
        <w:spacing w:line="276" w:lineRule="auto"/>
        <w:jc w:val="both"/>
        <w:rPr>
          <w:rFonts w:ascii="Arial" w:hAnsi="Arial" w:cs="Arial"/>
          <w:spacing w:val="5"/>
          <w:sz w:val="24"/>
          <w:szCs w:val="24"/>
        </w:rPr>
      </w:pPr>
    </w:p>
    <w:p w14:paraId="35071744" w14:textId="4FEE77B6" w:rsidR="002D65EF" w:rsidRPr="0057530C" w:rsidRDefault="002D65EF" w:rsidP="0057530C">
      <w:pPr>
        <w:pStyle w:val="Cuerpo"/>
        <w:spacing w:line="276" w:lineRule="auto"/>
        <w:jc w:val="both"/>
        <w:rPr>
          <w:rFonts w:ascii="Arial" w:hAnsi="Arial" w:cs="Arial"/>
          <w:spacing w:val="5"/>
          <w:sz w:val="24"/>
          <w:szCs w:val="24"/>
        </w:rPr>
      </w:pPr>
    </w:p>
    <w:p w14:paraId="0C192FCD" w14:textId="3D4B72BC" w:rsidR="00734923" w:rsidRPr="0057530C" w:rsidRDefault="00734923" w:rsidP="0057530C">
      <w:pPr>
        <w:spacing w:line="276" w:lineRule="auto"/>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hAnsi="Arial" w:cs="Arial"/>
          <w:spacing w:val="5"/>
          <w:sz w:val="24"/>
          <w:szCs w:val="24"/>
        </w:rPr>
        <w:br w:type="page"/>
      </w:r>
    </w:p>
    <w:p w14:paraId="100AF98E" w14:textId="25EC04CD" w:rsidR="00DA076C" w:rsidRPr="0057530C" w:rsidRDefault="00DA076C" w:rsidP="0057530C">
      <w:pPr>
        <w:pStyle w:val="Cuerpo"/>
        <w:spacing w:line="276" w:lineRule="auto"/>
        <w:jc w:val="center"/>
        <w:rPr>
          <w:rFonts w:ascii="Arial" w:hAnsi="Arial" w:cs="Arial"/>
          <w:color w:val="00B050"/>
          <w:spacing w:val="5"/>
          <w:sz w:val="24"/>
          <w:szCs w:val="24"/>
        </w:rPr>
      </w:pPr>
      <w:r w:rsidRPr="0057530C">
        <w:rPr>
          <w:rFonts w:ascii="Arial" w:hAnsi="Arial" w:cs="Arial"/>
          <w:b/>
          <w:bCs/>
          <w:color w:val="00B050"/>
          <w:spacing w:val="5"/>
          <w:sz w:val="24"/>
          <w:szCs w:val="24"/>
        </w:rPr>
        <w:lastRenderedPageBreak/>
        <w:t>PRIMERA LEY DE PROTECCIÓN DE DATOS PERSONALES.</w:t>
      </w:r>
    </w:p>
    <w:p w14:paraId="554A4ED9" w14:textId="77777777" w:rsidR="00C768B3" w:rsidRPr="0057530C" w:rsidRDefault="00C768B3" w:rsidP="0057530C">
      <w:pPr>
        <w:pStyle w:val="Cuerpo"/>
        <w:spacing w:line="276" w:lineRule="auto"/>
        <w:jc w:val="both"/>
        <w:rPr>
          <w:rFonts w:ascii="Arial" w:hAnsi="Arial" w:cs="Arial"/>
          <w:spacing w:val="5"/>
          <w:sz w:val="24"/>
          <w:szCs w:val="24"/>
        </w:rPr>
      </w:pPr>
    </w:p>
    <w:p w14:paraId="3EE1555C" w14:textId="438DF2F0" w:rsidR="00C768B3" w:rsidRPr="0057530C" w:rsidRDefault="00C768B3" w:rsidP="0057530C">
      <w:pPr>
        <w:pStyle w:val="Cuerpo"/>
        <w:spacing w:line="276" w:lineRule="auto"/>
        <w:jc w:val="both"/>
        <w:rPr>
          <w:rFonts w:ascii="Arial" w:hAnsi="Arial" w:cs="Arial"/>
          <w:spacing w:val="5"/>
          <w:sz w:val="24"/>
          <w:szCs w:val="24"/>
        </w:rPr>
      </w:pPr>
    </w:p>
    <w:p w14:paraId="11B6224A" w14:textId="37ADBA6E" w:rsidR="000B35F7" w:rsidRPr="0057530C" w:rsidRDefault="00A738F0" w:rsidP="0057530C">
      <w:pPr>
        <w:pStyle w:val="Cuerpo"/>
        <w:spacing w:line="276" w:lineRule="auto"/>
        <w:jc w:val="both"/>
        <w:rPr>
          <w:rFonts w:ascii="Arial" w:hAnsi="Arial" w:cs="Arial"/>
          <w:spacing w:val="5"/>
          <w:sz w:val="24"/>
          <w:szCs w:val="24"/>
        </w:rPr>
      </w:pPr>
      <w:r w:rsidRPr="0057530C">
        <w:rPr>
          <w:rFonts w:ascii="Arial" w:hAnsi="Arial" w:cs="Arial"/>
          <w:noProof/>
          <w:spacing w:val="5"/>
          <w:sz w:val="24"/>
          <w:szCs w:val="24"/>
        </w:rPr>
        <w:drawing>
          <wp:anchor distT="0" distB="0" distL="114300" distR="114300" simplePos="0" relativeHeight="251659264" behindDoc="1" locked="0" layoutInCell="1" allowOverlap="1" wp14:anchorId="7DB40C6E" wp14:editId="06C1CB61">
            <wp:simplePos x="0" y="0"/>
            <wp:positionH relativeFrom="margin">
              <wp:posOffset>-36830</wp:posOffset>
            </wp:positionH>
            <wp:positionV relativeFrom="paragraph">
              <wp:posOffset>55245</wp:posOffset>
            </wp:positionV>
            <wp:extent cx="2725200" cy="3682800"/>
            <wp:effectExtent l="133350" t="114300" r="151765" b="165735"/>
            <wp:wrapTight wrapText="bothSides">
              <wp:wrapPolygon edited="0">
                <wp:start x="-906" y="-670"/>
                <wp:lineTo x="-1057" y="21566"/>
                <wp:lineTo x="-604" y="22460"/>
                <wp:lineTo x="22048" y="22460"/>
                <wp:lineTo x="22652" y="21120"/>
                <wp:lineTo x="22652" y="1341"/>
                <wp:lineTo x="22350" y="-670"/>
                <wp:lineTo x="-906" y="-670"/>
              </wp:wrapPolygon>
            </wp:wrapTight>
            <wp:docPr id="782212209" name="Imagen 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2212209" name="Imagen 1" descr="Text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25200" cy="36828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margin">
              <wp14:pctWidth>0</wp14:pctWidth>
            </wp14:sizeRelH>
            <wp14:sizeRelV relativeFrom="margin">
              <wp14:pctHeight>0</wp14:pctHeight>
            </wp14:sizeRelV>
          </wp:anchor>
        </w:drawing>
      </w:r>
      <w:r w:rsidR="000B35F7" w:rsidRPr="0057530C">
        <w:rPr>
          <w:rFonts w:ascii="Arial" w:hAnsi="Arial" w:cs="Arial"/>
          <w:spacing w:val="5"/>
          <w:sz w:val="24"/>
          <w:szCs w:val="24"/>
        </w:rPr>
        <w:t xml:space="preserve">En un importante avance hacia la protección de la privacidad en Guanajuato, se publicó la </w:t>
      </w:r>
      <w:r w:rsidR="000B35F7" w:rsidRPr="0057530C">
        <w:rPr>
          <w:rFonts w:ascii="Arial" w:hAnsi="Arial" w:cs="Arial"/>
          <w:b/>
          <w:bCs/>
          <w:spacing w:val="5"/>
          <w:sz w:val="24"/>
          <w:szCs w:val="24"/>
        </w:rPr>
        <w:t>Ley de Protección de Datos Personales para el Estado y los Municipios de Guanajuato</w:t>
      </w:r>
      <w:r w:rsidR="000B35F7" w:rsidRPr="0057530C">
        <w:rPr>
          <w:rFonts w:ascii="Arial" w:hAnsi="Arial" w:cs="Arial"/>
          <w:spacing w:val="5"/>
          <w:sz w:val="24"/>
          <w:szCs w:val="24"/>
        </w:rPr>
        <w:t xml:space="preserve"> el </w:t>
      </w:r>
      <w:r w:rsidR="000B35F7" w:rsidRPr="0057530C">
        <w:rPr>
          <w:rFonts w:ascii="Arial" w:hAnsi="Arial" w:cs="Arial"/>
          <w:b/>
          <w:bCs/>
          <w:spacing w:val="5"/>
          <w:sz w:val="24"/>
          <w:szCs w:val="24"/>
        </w:rPr>
        <w:t>19 de mayo de 2006</w:t>
      </w:r>
      <w:r w:rsidR="000B35F7" w:rsidRPr="0057530C">
        <w:rPr>
          <w:rFonts w:ascii="Arial" w:hAnsi="Arial" w:cs="Arial"/>
          <w:spacing w:val="5"/>
          <w:sz w:val="24"/>
          <w:szCs w:val="24"/>
        </w:rPr>
        <w:t>, marcando un hito como la primera ley en su tipo en el estado.</w:t>
      </w:r>
    </w:p>
    <w:p w14:paraId="134E3572" w14:textId="77777777" w:rsidR="000B35F7" w:rsidRPr="0057530C" w:rsidRDefault="000B35F7" w:rsidP="0057530C">
      <w:pPr>
        <w:pStyle w:val="Cuerpo"/>
        <w:spacing w:line="276" w:lineRule="auto"/>
        <w:jc w:val="both"/>
        <w:rPr>
          <w:rFonts w:ascii="Arial" w:hAnsi="Arial" w:cs="Arial"/>
          <w:spacing w:val="5"/>
          <w:sz w:val="24"/>
          <w:szCs w:val="24"/>
        </w:rPr>
      </w:pPr>
    </w:p>
    <w:p w14:paraId="2D02C4EC" w14:textId="2B339E80" w:rsidR="000B35F7" w:rsidRPr="0057530C" w:rsidRDefault="000B35F7"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Esta ley estableció la responsabilidad de los sujetos obligados, incluyendo los poderes del Estado, los ayuntamientos y los organismos autónomos, en garantizar la privacidad de los datos personales de la ciudadanía. Entre las novedades más significativas que incorporó esta ley, destacan</w:t>
      </w:r>
      <w:r w:rsidR="004F583B" w:rsidRPr="0057530C">
        <w:rPr>
          <w:rFonts w:ascii="Arial" w:hAnsi="Arial" w:cs="Arial"/>
          <w:spacing w:val="5"/>
          <w:sz w:val="24"/>
          <w:szCs w:val="24"/>
        </w:rPr>
        <w:t xml:space="preserve"> el c</w:t>
      </w:r>
      <w:r w:rsidRPr="0057530C">
        <w:rPr>
          <w:rFonts w:ascii="Arial" w:hAnsi="Arial" w:cs="Arial"/>
          <w:spacing w:val="5"/>
          <w:sz w:val="24"/>
          <w:szCs w:val="24"/>
        </w:rPr>
        <w:t>onsentimiento informado</w:t>
      </w:r>
      <w:r w:rsidR="004F583B" w:rsidRPr="0057530C">
        <w:rPr>
          <w:rFonts w:ascii="Arial" w:hAnsi="Arial" w:cs="Arial"/>
          <w:spacing w:val="5"/>
          <w:sz w:val="24"/>
          <w:szCs w:val="24"/>
        </w:rPr>
        <w:t xml:space="preserve"> ya que se </w:t>
      </w:r>
      <w:r w:rsidRPr="0057530C">
        <w:rPr>
          <w:rFonts w:ascii="Arial" w:hAnsi="Arial" w:cs="Arial"/>
          <w:spacing w:val="5"/>
          <w:sz w:val="24"/>
          <w:szCs w:val="24"/>
        </w:rPr>
        <w:t xml:space="preserve">estableció la obligatoriedad de obtener el consentimiento del titular de los datos personales antes de recopilarlos, asegurando que se le informe claramente sobre la existencia del archivo y la finalidad </w:t>
      </w:r>
      <w:r w:rsidR="004F583B" w:rsidRPr="0057530C">
        <w:rPr>
          <w:rFonts w:ascii="Arial" w:hAnsi="Arial" w:cs="Arial"/>
          <w:spacing w:val="5"/>
          <w:sz w:val="24"/>
          <w:szCs w:val="24"/>
        </w:rPr>
        <w:t>de este</w:t>
      </w:r>
      <w:r w:rsidRPr="0057530C">
        <w:rPr>
          <w:rFonts w:ascii="Arial" w:hAnsi="Arial" w:cs="Arial"/>
          <w:spacing w:val="5"/>
          <w:sz w:val="24"/>
          <w:szCs w:val="24"/>
        </w:rPr>
        <w:t>.</w:t>
      </w:r>
      <w:r w:rsidR="004F583B" w:rsidRPr="0057530C">
        <w:rPr>
          <w:rFonts w:ascii="Arial" w:hAnsi="Arial" w:cs="Arial"/>
          <w:spacing w:val="5"/>
          <w:sz w:val="24"/>
          <w:szCs w:val="24"/>
        </w:rPr>
        <w:t xml:space="preserve"> También se </w:t>
      </w:r>
      <w:r w:rsidRPr="0057530C">
        <w:rPr>
          <w:rFonts w:ascii="Arial" w:hAnsi="Arial" w:cs="Arial"/>
          <w:spacing w:val="5"/>
          <w:sz w:val="24"/>
          <w:szCs w:val="24"/>
        </w:rPr>
        <w:t>reconoci</w:t>
      </w:r>
      <w:r w:rsidR="004F583B" w:rsidRPr="0057530C">
        <w:rPr>
          <w:rFonts w:ascii="Arial" w:hAnsi="Arial" w:cs="Arial"/>
          <w:spacing w:val="5"/>
          <w:sz w:val="24"/>
          <w:szCs w:val="24"/>
        </w:rPr>
        <w:t>eron</w:t>
      </w:r>
      <w:r w:rsidRPr="0057530C">
        <w:rPr>
          <w:rFonts w:ascii="Arial" w:hAnsi="Arial" w:cs="Arial"/>
          <w:spacing w:val="5"/>
          <w:sz w:val="24"/>
          <w:szCs w:val="24"/>
        </w:rPr>
        <w:t xml:space="preserve"> los derechos de acceso, </w:t>
      </w:r>
      <w:r w:rsidR="00BC0AEA" w:rsidRPr="0057530C">
        <w:rPr>
          <w:rFonts w:ascii="Arial" w:hAnsi="Arial" w:cs="Arial"/>
          <w:spacing w:val="5"/>
          <w:sz w:val="24"/>
          <w:szCs w:val="24"/>
        </w:rPr>
        <w:t xml:space="preserve">corrección y </w:t>
      </w:r>
      <w:r w:rsidRPr="0057530C">
        <w:rPr>
          <w:rFonts w:ascii="Arial" w:hAnsi="Arial" w:cs="Arial"/>
          <w:spacing w:val="5"/>
          <w:sz w:val="24"/>
          <w:szCs w:val="24"/>
        </w:rPr>
        <w:t>cancelación, brindando a l</w:t>
      </w:r>
      <w:r w:rsidR="004F583B" w:rsidRPr="0057530C">
        <w:rPr>
          <w:rFonts w:ascii="Arial" w:hAnsi="Arial" w:cs="Arial"/>
          <w:spacing w:val="5"/>
          <w:sz w:val="24"/>
          <w:szCs w:val="24"/>
        </w:rPr>
        <w:t>as</w:t>
      </w:r>
      <w:r w:rsidRPr="0057530C">
        <w:rPr>
          <w:rFonts w:ascii="Arial" w:hAnsi="Arial" w:cs="Arial"/>
          <w:spacing w:val="5"/>
          <w:sz w:val="24"/>
          <w:szCs w:val="24"/>
        </w:rPr>
        <w:t xml:space="preserve"> </w:t>
      </w:r>
      <w:r w:rsidR="004F583B" w:rsidRPr="0057530C">
        <w:rPr>
          <w:rFonts w:ascii="Arial" w:hAnsi="Arial" w:cs="Arial"/>
          <w:spacing w:val="5"/>
          <w:sz w:val="24"/>
          <w:szCs w:val="24"/>
        </w:rPr>
        <w:t xml:space="preserve">personas </w:t>
      </w:r>
      <w:r w:rsidRPr="0057530C">
        <w:rPr>
          <w:rFonts w:ascii="Arial" w:hAnsi="Arial" w:cs="Arial"/>
          <w:spacing w:val="5"/>
          <w:sz w:val="24"/>
          <w:szCs w:val="24"/>
        </w:rPr>
        <w:t>la posibilidad de ejercer un mayor control sobre sus datos personales.</w:t>
      </w:r>
    </w:p>
    <w:p w14:paraId="5E495851" w14:textId="77777777" w:rsidR="000B35F7" w:rsidRPr="0057530C" w:rsidRDefault="000B35F7" w:rsidP="0057530C">
      <w:pPr>
        <w:pStyle w:val="Cuerpo"/>
        <w:spacing w:line="276" w:lineRule="auto"/>
        <w:jc w:val="both"/>
        <w:rPr>
          <w:rFonts w:ascii="Arial" w:hAnsi="Arial" w:cs="Arial"/>
          <w:spacing w:val="5"/>
          <w:sz w:val="24"/>
          <w:szCs w:val="24"/>
        </w:rPr>
      </w:pPr>
    </w:p>
    <w:p w14:paraId="093E4953" w14:textId="4B68BF68" w:rsidR="000B35F7" w:rsidRPr="0057530C" w:rsidRDefault="000B35F7"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En el ámbito del IACIP, entidad encargada de velar por la protección de los datos personales, se le otorgaron importantes atribuciones, tales como:</w:t>
      </w:r>
      <w:r w:rsidR="004F583B" w:rsidRPr="0057530C">
        <w:rPr>
          <w:rFonts w:ascii="Arial" w:hAnsi="Arial" w:cs="Arial"/>
          <w:spacing w:val="5"/>
          <w:sz w:val="24"/>
          <w:szCs w:val="24"/>
        </w:rPr>
        <w:t xml:space="preserve"> a</w:t>
      </w:r>
      <w:r w:rsidRPr="0057530C">
        <w:rPr>
          <w:rFonts w:ascii="Arial" w:hAnsi="Arial" w:cs="Arial"/>
          <w:spacing w:val="5"/>
          <w:sz w:val="24"/>
          <w:szCs w:val="24"/>
        </w:rPr>
        <w:t xml:space="preserve">sesoría a la ciudadanía: para brindar </w:t>
      </w:r>
      <w:r w:rsidR="004F583B" w:rsidRPr="0057530C">
        <w:rPr>
          <w:rFonts w:ascii="Arial" w:hAnsi="Arial" w:cs="Arial"/>
          <w:spacing w:val="5"/>
          <w:sz w:val="24"/>
          <w:szCs w:val="24"/>
        </w:rPr>
        <w:t xml:space="preserve">orientación </w:t>
      </w:r>
      <w:r w:rsidRPr="0057530C">
        <w:rPr>
          <w:rFonts w:ascii="Arial" w:hAnsi="Arial" w:cs="Arial"/>
          <w:spacing w:val="5"/>
          <w:sz w:val="24"/>
          <w:szCs w:val="24"/>
        </w:rPr>
        <w:t>a las personas respecto a sus derechos en materia de protección de datos personales</w:t>
      </w:r>
      <w:r w:rsidR="004F583B" w:rsidRPr="0057530C">
        <w:rPr>
          <w:rFonts w:ascii="Arial" w:hAnsi="Arial" w:cs="Arial"/>
          <w:spacing w:val="5"/>
          <w:sz w:val="24"/>
          <w:szCs w:val="24"/>
        </w:rPr>
        <w:t xml:space="preserve"> </w:t>
      </w:r>
      <w:r w:rsidR="009A06E7" w:rsidRPr="0057530C">
        <w:rPr>
          <w:rFonts w:ascii="Arial" w:hAnsi="Arial" w:cs="Arial"/>
          <w:spacing w:val="5"/>
          <w:sz w:val="24"/>
          <w:szCs w:val="24"/>
        </w:rPr>
        <w:t>y la c</w:t>
      </w:r>
      <w:r w:rsidRPr="0057530C">
        <w:rPr>
          <w:rFonts w:ascii="Arial" w:hAnsi="Arial" w:cs="Arial"/>
          <w:spacing w:val="5"/>
          <w:sz w:val="24"/>
          <w:szCs w:val="24"/>
        </w:rPr>
        <w:t>onciliación de intereses</w:t>
      </w:r>
      <w:r w:rsidR="009A06E7" w:rsidRPr="0057530C">
        <w:rPr>
          <w:rFonts w:ascii="Arial" w:hAnsi="Arial" w:cs="Arial"/>
          <w:spacing w:val="5"/>
          <w:sz w:val="24"/>
          <w:szCs w:val="24"/>
        </w:rPr>
        <w:t>, ya que, e</w:t>
      </w:r>
      <w:r w:rsidRPr="0057530C">
        <w:rPr>
          <w:rFonts w:ascii="Arial" w:hAnsi="Arial" w:cs="Arial"/>
          <w:spacing w:val="5"/>
          <w:sz w:val="24"/>
          <w:szCs w:val="24"/>
        </w:rPr>
        <w:t>n caso de conflictos entre los derechos de los titulares de datos y los sujetos obligados, el IACIP se encargó de procurar la conciliación, buscando un equilibrio justo.</w:t>
      </w:r>
      <w:r w:rsidR="00000CA6" w:rsidRPr="0057530C">
        <w:rPr>
          <w:rFonts w:ascii="Arial" w:hAnsi="Arial" w:cs="Arial"/>
          <w:spacing w:val="5"/>
          <w:sz w:val="24"/>
          <w:szCs w:val="24"/>
        </w:rPr>
        <w:t xml:space="preserve"> </w:t>
      </w:r>
      <w:r w:rsidR="00DA0E1D" w:rsidRPr="0057530C">
        <w:rPr>
          <w:rFonts w:ascii="Arial" w:hAnsi="Arial" w:cs="Arial"/>
          <w:spacing w:val="5"/>
          <w:sz w:val="24"/>
          <w:szCs w:val="24"/>
        </w:rPr>
        <w:t>Asimismo,</w:t>
      </w:r>
      <w:r w:rsidR="00000CA6" w:rsidRPr="0057530C">
        <w:rPr>
          <w:rFonts w:ascii="Arial" w:hAnsi="Arial" w:cs="Arial"/>
          <w:spacing w:val="5"/>
          <w:sz w:val="24"/>
          <w:szCs w:val="24"/>
        </w:rPr>
        <w:t xml:space="preserve"> se preveía el Registro Estatal de Protección de Datos Personales, el cual era un mecanismo que tenía por objeto llevar un control sobre la existencia y finalidades de archivos o bancos de datos en poder de los sujetos obligados.</w:t>
      </w:r>
    </w:p>
    <w:p w14:paraId="358FB19F" w14:textId="77777777" w:rsidR="000B35F7" w:rsidRPr="0057530C" w:rsidRDefault="000B35F7" w:rsidP="0057530C">
      <w:pPr>
        <w:pStyle w:val="Cuerpo"/>
        <w:spacing w:line="276" w:lineRule="auto"/>
        <w:jc w:val="both"/>
        <w:rPr>
          <w:rFonts w:ascii="Arial" w:hAnsi="Arial" w:cs="Arial"/>
          <w:spacing w:val="5"/>
          <w:sz w:val="24"/>
          <w:szCs w:val="24"/>
        </w:rPr>
      </w:pPr>
    </w:p>
    <w:p w14:paraId="5854FC3C" w14:textId="322DC389" w:rsidR="00734923" w:rsidRPr="0057530C" w:rsidRDefault="000B35F7"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La promulgación de esta ley marcó un importante paso adelante en la protección de la privacidad y los datos personales de los </w:t>
      </w:r>
      <w:r w:rsidR="008D1425" w:rsidRPr="0057530C">
        <w:rPr>
          <w:rFonts w:ascii="Arial" w:hAnsi="Arial" w:cs="Arial"/>
          <w:spacing w:val="5"/>
          <w:sz w:val="24"/>
          <w:szCs w:val="24"/>
        </w:rPr>
        <w:t>g</w:t>
      </w:r>
      <w:r w:rsidRPr="0057530C">
        <w:rPr>
          <w:rFonts w:ascii="Arial" w:hAnsi="Arial" w:cs="Arial"/>
          <w:spacing w:val="5"/>
          <w:sz w:val="24"/>
          <w:szCs w:val="24"/>
        </w:rPr>
        <w:t>uanajuat</w:t>
      </w:r>
      <w:r w:rsidR="008D1425" w:rsidRPr="0057530C">
        <w:rPr>
          <w:rFonts w:ascii="Arial" w:hAnsi="Arial" w:cs="Arial"/>
          <w:spacing w:val="5"/>
          <w:sz w:val="24"/>
          <w:szCs w:val="24"/>
        </w:rPr>
        <w:t>enses</w:t>
      </w:r>
      <w:r w:rsidRPr="0057530C">
        <w:rPr>
          <w:rFonts w:ascii="Arial" w:hAnsi="Arial" w:cs="Arial"/>
          <w:spacing w:val="5"/>
          <w:sz w:val="24"/>
          <w:szCs w:val="24"/>
        </w:rPr>
        <w:t>, fortaleciendo la confianza en las instituciones y reafirmando el compromiso del estado con el resguardo de la información sensible de sus habitantes.</w:t>
      </w:r>
    </w:p>
    <w:p w14:paraId="20B33C35" w14:textId="77777777" w:rsidR="00734923" w:rsidRPr="0057530C" w:rsidRDefault="00734923" w:rsidP="0057530C">
      <w:pPr>
        <w:spacing w:line="276" w:lineRule="auto"/>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hAnsi="Arial" w:cs="Arial"/>
          <w:spacing w:val="5"/>
          <w:sz w:val="24"/>
          <w:szCs w:val="24"/>
        </w:rPr>
        <w:br w:type="page"/>
      </w:r>
    </w:p>
    <w:p w14:paraId="58B01107" w14:textId="56BF2F7D" w:rsidR="008A353D" w:rsidRPr="0057530C" w:rsidRDefault="00CF6028" w:rsidP="0057530C">
      <w:pPr>
        <w:pStyle w:val="Cuerpo"/>
        <w:spacing w:line="276" w:lineRule="auto"/>
        <w:jc w:val="center"/>
        <w:rPr>
          <w:rFonts w:ascii="Arial" w:hAnsi="Arial" w:cs="Arial"/>
          <w:b/>
          <w:bCs/>
          <w:color w:val="2E74B5" w:themeColor="accent5" w:themeShade="BF"/>
          <w:spacing w:val="5"/>
          <w:sz w:val="24"/>
          <w:szCs w:val="24"/>
        </w:rPr>
      </w:pPr>
      <w:r w:rsidRPr="0057530C">
        <w:rPr>
          <w:rFonts w:ascii="Arial" w:hAnsi="Arial" w:cs="Arial"/>
          <w:b/>
          <w:bCs/>
          <w:color w:val="2E74B5" w:themeColor="accent5" w:themeShade="BF"/>
          <w:spacing w:val="5"/>
          <w:sz w:val="24"/>
          <w:szCs w:val="24"/>
        </w:rPr>
        <w:lastRenderedPageBreak/>
        <w:t>SEGUNDA LEY</w:t>
      </w:r>
      <w:r w:rsidR="00D01AC5" w:rsidRPr="0057530C">
        <w:rPr>
          <w:rFonts w:ascii="Arial" w:hAnsi="Arial" w:cs="Arial"/>
          <w:b/>
          <w:bCs/>
          <w:color w:val="2E74B5" w:themeColor="accent5" w:themeShade="BF"/>
          <w:spacing w:val="5"/>
          <w:sz w:val="24"/>
          <w:szCs w:val="24"/>
        </w:rPr>
        <w:t xml:space="preserve"> DE TRANSPARENCIA</w:t>
      </w:r>
      <w:r w:rsidRPr="0057530C">
        <w:rPr>
          <w:rFonts w:ascii="Arial" w:hAnsi="Arial" w:cs="Arial"/>
          <w:b/>
          <w:bCs/>
          <w:color w:val="2E74B5" w:themeColor="accent5" w:themeShade="BF"/>
          <w:spacing w:val="5"/>
          <w:sz w:val="24"/>
          <w:szCs w:val="24"/>
        </w:rPr>
        <w:t>.</w:t>
      </w:r>
    </w:p>
    <w:p w14:paraId="020272EC" w14:textId="77777777" w:rsidR="001D59C4" w:rsidRPr="0057530C" w:rsidRDefault="001D59C4" w:rsidP="0057530C">
      <w:pPr>
        <w:pStyle w:val="Cuerpo"/>
        <w:spacing w:line="276" w:lineRule="auto"/>
        <w:jc w:val="both"/>
        <w:rPr>
          <w:rFonts w:ascii="Arial" w:hAnsi="Arial" w:cs="Arial"/>
          <w:spacing w:val="5"/>
          <w:sz w:val="24"/>
          <w:szCs w:val="24"/>
        </w:rPr>
      </w:pPr>
    </w:p>
    <w:p w14:paraId="6D36537C" w14:textId="31B8F7E9" w:rsidR="001D59C4" w:rsidRPr="0057530C" w:rsidRDefault="001D59C4" w:rsidP="0057530C">
      <w:pPr>
        <w:pStyle w:val="Cuerpo"/>
        <w:spacing w:line="276" w:lineRule="auto"/>
        <w:jc w:val="both"/>
        <w:rPr>
          <w:rFonts w:ascii="Arial" w:hAnsi="Arial" w:cs="Arial"/>
          <w:spacing w:val="5"/>
          <w:sz w:val="24"/>
          <w:szCs w:val="24"/>
        </w:rPr>
      </w:pPr>
      <w:r w:rsidRPr="0057530C">
        <w:rPr>
          <w:rFonts w:ascii="Arial" w:hAnsi="Arial" w:cs="Arial"/>
          <w:noProof/>
          <w:spacing w:val="5"/>
          <w:sz w:val="24"/>
          <w:szCs w:val="24"/>
        </w:rPr>
        <w:drawing>
          <wp:anchor distT="0" distB="0" distL="114300" distR="114300" simplePos="0" relativeHeight="251660288" behindDoc="1" locked="0" layoutInCell="1" allowOverlap="1" wp14:anchorId="0FE4CDBB" wp14:editId="2B76C71F">
            <wp:simplePos x="0" y="0"/>
            <wp:positionH relativeFrom="margin">
              <wp:align>left</wp:align>
            </wp:positionH>
            <wp:positionV relativeFrom="paragraph">
              <wp:posOffset>117904</wp:posOffset>
            </wp:positionV>
            <wp:extent cx="2682000" cy="3646800"/>
            <wp:effectExtent l="133350" t="114300" r="137795" b="163830"/>
            <wp:wrapTight wrapText="bothSides">
              <wp:wrapPolygon edited="0">
                <wp:start x="-921" y="-677"/>
                <wp:lineTo x="-1074" y="21216"/>
                <wp:lineTo x="-767" y="22458"/>
                <wp:lineTo x="22096" y="22458"/>
                <wp:lineTo x="22556" y="21216"/>
                <wp:lineTo x="22556" y="1354"/>
                <wp:lineTo x="22250" y="-677"/>
                <wp:lineTo x="-921" y="-677"/>
              </wp:wrapPolygon>
            </wp:wrapTight>
            <wp:docPr id="1549282027" name="Imagen 1" descr="Interfaz de usuario gráfica, Texto,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9282027" name="Imagen 1" descr="Interfaz de usuario gráfica, Texto, Aplicación&#10;&#10;Descripción generada automáticamente"/>
                    <pic:cNvPicPr/>
                  </pic:nvPicPr>
                  <pic:blipFill>
                    <a:blip r:embed="rId9" cstate="print">
                      <a:extLst>
                        <a:ext uri="{28A0092B-C50C-407E-A947-70E740481C1C}">
                          <a14:useLocalDpi xmlns:a14="http://schemas.microsoft.com/office/drawing/2010/main" val="0"/>
                        </a:ext>
                      </a:extLst>
                    </a:blip>
                    <a:stretch>
                      <a:fillRect/>
                    </a:stretch>
                  </pic:blipFill>
                  <pic:spPr>
                    <a:xfrm>
                      <a:off x="0" y="0"/>
                      <a:ext cx="2682000" cy="36468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margin">
              <wp14:pctWidth>0</wp14:pctWidth>
            </wp14:sizeRelH>
            <wp14:sizeRelV relativeFrom="margin">
              <wp14:pctHeight>0</wp14:pctHeight>
            </wp14:sizeRelV>
          </wp:anchor>
        </w:drawing>
      </w:r>
    </w:p>
    <w:p w14:paraId="207D8671" w14:textId="6F0D5302" w:rsidR="005B117D" w:rsidRPr="0057530C" w:rsidRDefault="005B117D"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Fue promulgada la </w:t>
      </w:r>
      <w:r w:rsidRPr="0057530C">
        <w:rPr>
          <w:rFonts w:ascii="Arial" w:hAnsi="Arial" w:cs="Arial"/>
          <w:b/>
          <w:bCs/>
          <w:spacing w:val="5"/>
          <w:sz w:val="24"/>
          <w:szCs w:val="24"/>
        </w:rPr>
        <w:t>Ley de Transparencia y Acceso a la Información Pública para el Estado y los Municipios de Guanajuato</w:t>
      </w:r>
      <w:r w:rsidRPr="0057530C">
        <w:rPr>
          <w:rFonts w:ascii="Arial" w:hAnsi="Arial" w:cs="Arial"/>
          <w:spacing w:val="5"/>
          <w:sz w:val="24"/>
          <w:szCs w:val="24"/>
        </w:rPr>
        <w:t xml:space="preserve">, la cual se publicó en el Periódico Oficial el </w:t>
      </w:r>
      <w:r w:rsidRPr="0057530C">
        <w:rPr>
          <w:rFonts w:ascii="Arial" w:hAnsi="Arial" w:cs="Arial"/>
          <w:b/>
          <w:bCs/>
          <w:spacing w:val="5"/>
          <w:sz w:val="24"/>
          <w:szCs w:val="24"/>
        </w:rPr>
        <w:t>25 de septiembre de 2012</w:t>
      </w:r>
      <w:r w:rsidRPr="0057530C">
        <w:rPr>
          <w:rFonts w:ascii="Arial" w:hAnsi="Arial" w:cs="Arial"/>
          <w:spacing w:val="5"/>
          <w:sz w:val="24"/>
          <w:szCs w:val="24"/>
        </w:rPr>
        <w:t xml:space="preserve">. Esta ley introduce varias novedades, entre las cuales destaca la </w:t>
      </w:r>
      <w:r w:rsidRPr="0057530C">
        <w:rPr>
          <w:rFonts w:ascii="Arial" w:hAnsi="Arial" w:cs="Arial"/>
          <w:b/>
          <w:bCs/>
          <w:spacing w:val="5"/>
          <w:sz w:val="24"/>
          <w:szCs w:val="24"/>
        </w:rPr>
        <w:t>reducción del plazo de respuesta a las solicitudes de acceso a la información a 5 días, con la posibilidad de una prórroga de 3 días adicionales</w:t>
      </w:r>
      <w:r w:rsidRPr="0057530C">
        <w:rPr>
          <w:rFonts w:ascii="Arial" w:hAnsi="Arial" w:cs="Arial"/>
          <w:spacing w:val="5"/>
          <w:sz w:val="24"/>
          <w:szCs w:val="24"/>
        </w:rPr>
        <w:t>.</w:t>
      </w:r>
    </w:p>
    <w:p w14:paraId="0A9B71CC" w14:textId="77777777" w:rsidR="005B117D" w:rsidRPr="0057530C" w:rsidRDefault="005B117D" w:rsidP="0057530C">
      <w:pPr>
        <w:pStyle w:val="Cuerpo"/>
        <w:spacing w:line="276" w:lineRule="auto"/>
        <w:jc w:val="both"/>
        <w:rPr>
          <w:rFonts w:ascii="Arial" w:hAnsi="Arial" w:cs="Arial"/>
          <w:spacing w:val="5"/>
          <w:sz w:val="24"/>
          <w:szCs w:val="24"/>
        </w:rPr>
      </w:pPr>
    </w:p>
    <w:p w14:paraId="0869634C" w14:textId="128ED1ED" w:rsidR="005B117D" w:rsidRPr="0057530C" w:rsidRDefault="005B117D"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Dentro de las obligaciones de transparencia, se añade la inclusión de un listado de convocatorias a concursos, subastas y licitaciones, así como la divulgación de los resultados de </w:t>
      </w:r>
      <w:r w:rsidR="00DA0E1D" w:rsidRPr="0057530C">
        <w:rPr>
          <w:rFonts w:ascii="Arial" w:hAnsi="Arial" w:cs="Arial"/>
          <w:spacing w:val="5"/>
          <w:sz w:val="24"/>
          <w:szCs w:val="24"/>
        </w:rPr>
        <w:t>estos</w:t>
      </w:r>
      <w:r w:rsidRPr="0057530C">
        <w:rPr>
          <w:rFonts w:ascii="Arial" w:hAnsi="Arial" w:cs="Arial"/>
          <w:spacing w:val="5"/>
          <w:sz w:val="24"/>
          <w:szCs w:val="24"/>
        </w:rPr>
        <w:t>. También se requiere la publicación de los contratos, incluyendo su monto y los beneficiarios de dichos contratos. Además, se establece la obligación de hacer públicas las resoluciones emitidas por los órganos jurisdiccionales locales que resuelvan disputas entre los poderes del Estado o entre estos y los municipios.</w:t>
      </w:r>
    </w:p>
    <w:p w14:paraId="4E131953" w14:textId="77777777" w:rsidR="005B117D" w:rsidRPr="0057530C" w:rsidRDefault="005B117D" w:rsidP="0057530C">
      <w:pPr>
        <w:pStyle w:val="Cuerpo"/>
        <w:spacing w:line="276" w:lineRule="auto"/>
        <w:jc w:val="both"/>
        <w:rPr>
          <w:rFonts w:ascii="Arial" w:hAnsi="Arial" w:cs="Arial"/>
          <w:spacing w:val="5"/>
          <w:sz w:val="24"/>
          <w:szCs w:val="24"/>
        </w:rPr>
      </w:pPr>
    </w:p>
    <w:p w14:paraId="4DBF6044" w14:textId="77777777" w:rsidR="005B117D" w:rsidRPr="0057530C" w:rsidRDefault="005B117D"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En cuanto a la estructura del Instituto, se mantiene la conformación con 3 consejeros designados por un período de 4 años, con la posibilidad de ser ratificados por un período adicional igual. Se reemplaza la figura del </w:t>
      </w:r>
      <w:r w:rsidRPr="0057530C">
        <w:rPr>
          <w:rFonts w:ascii="Arial" w:hAnsi="Arial" w:cs="Arial"/>
          <w:i/>
          <w:iCs/>
          <w:spacing w:val="5"/>
          <w:sz w:val="24"/>
          <w:szCs w:val="24"/>
        </w:rPr>
        <w:t>Director General</w:t>
      </w:r>
      <w:r w:rsidRPr="0057530C">
        <w:rPr>
          <w:rFonts w:ascii="Arial" w:hAnsi="Arial" w:cs="Arial"/>
          <w:spacing w:val="5"/>
          <w:sz w:val="24"/>
          <w:szCs w:val="24"/>
        </w:rPr>
        <w:t xml:space="preserve"> por la del </w:t>
      </w:r>
      <w:r w:rsidRPr="0057530C">
        <w:rPr>
          <w:rFonts w:ascii="Arial" w:hAnsi="Arial" w:cs="Arial"/>
          <w:i/>
          <w:iCs/>
          <w:spacing w:val="5"/>
          <w:sz w:val="24"/>
          <w:szCs w:val="24"/>
        </w:rPr>
        <w:t>Secretario Ejecutivo</w:t>
      </w:r>
      <w:r w:rsidRPr="0057530C">
        <w:rPr>
          <w:rFonts w:ascii="Arial" w:hAnsi="Arial" w:cs="Arial"/>
          <w:spacing w:val="5"/>
          <w:sz w:val="24"/>
          <w:szCs w:val="24"/>
        </w:rPr>
        <w:t>. En términos de los mecanismos de impugnación, se establece el recurso de queja para los casos relacionados con el acceso a la información, y el recurso de revocación para los casos de protección de datos personales.</w:t>
      </w:r>
    </w:p>
    <w:p w14:paraId="41DCE5BF" w14:textId="77777777" w:rsidR="005B117D" w:rsidRPr="0057530C" w:rsidRDefault="005B117D" w:rsidP="0057530C">
      <w:pPr>
        <w:pStyle w:val="Cuerpo"/>
        <w:spacing w:line="276" w:lineRule="auto"/>
        <w:jc w:val="both"/>
        <w:rPr>
          <w:rFonts w:ascii="Arial" w:hAnsi="Arial" w:cs="Arial"/>
          <w:spacing w:val="5"/>
          <w:sz w:val="24"/>
          <w:szCs w:val="24"/>
        </w:rPr>
      </w:pPr>
    </w:p>
    <w:p w14:paraId="5EC104AC" w14:textId="591D83E7" w:rsidR="00BC7313" w:rsidRPr="0057530C" w:rsidRDefault="005B117D"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Esta </w:t>
      </w:r>
      <w:r w:rsidR="00691E90" w:rsidRPr="0057530C">
        <w:rPr>
          <w:rFonts w:ascii="Arial" w:hAnsi="Arial" w:cs="Arial"/>
          <w:spacing w:val="5"/>
          <w:sz w:val="24"/>
          <w:szCs w:val="24"/>
        </w:rPr>
        <w:t>Ley ab</w:t>
      </w:r>
      <w:r w:rsidRPr="0057530C">
        <w:rPr>
          <w:rFonts w:ascii="Arial" w:hAnsi="Arial" w:cs="Arial"/>
          <w:spacing w:val="5"/>
          <w:sz w:val="24"/>
          <w:szCs w:val="24"/>
        </w:rPr>
        <w:t xml:space="preserve">roga la </w:t>
      </w:r>
      <w:r w:rsidR="00691E90" w:rsidRPr="0057530C">
        <w:rPr>
          <w:rFonts w:ascii="Arial" w:hAnsi="Arial" w:cs="Arial"/>
          <w:spacing w:val="5"/>
          <w:sz w:val="24"/>
          <w:szCs w:val="24"/>
        </w:rPr>
        <w:t xml:space="preserve">Ley </w:t>
      </w:r>
      <w:r w:rsidRPr="0057530C">
        <w:rPr>
          <w:rFonts w:ascii="Arial" w:hAnsi="Arial" w:cs="Arial"/>
          <w:spacing w:val="5"/>
          <w:sz w:val="24"/>
          <w:szCs w:val="24"/>
        </w:rPr>
        <w:t>emitida el 29 de julio de 2003, que estuvo en vigor previamente.</w:t>
      </w:r>
    </w:p>
    <w:p w14:paraId="5C5A137A" w14:textId="77777777" w:rsidR="00BC7313" w:rsidRPr="0057530C" w:rsidRDefault="00BC7313" w:rsidP="0057530C">
      <w:pPr>
        <w:spacing w:line="276" w:lineRule="auto"/>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hAnsi="Arial" w:cs="Arial"/>
          <w:spacing w:val="5"/>
          <w:sz w:val="24"/>
          <w:szCs w:val="24"/>
        </w:rPr>
        <w:br w:type="page"/>
      </w:r>
    </w:p>
    <w:p w14:paraId="320514BB" w14:textId="14BA42AF" w:rsidR="005B117D" w:rsidRPr="0057530C" w:rsidRDefault="005B117D" w:rsidP="0057530C">
      <w:pPr>
        <w:pStyle w:val="Cuerpo"/>
        <w:spacing w:line="276" w:lineRule="auto"/>
        <w:jc w:val="center"/>
        <w:rPr>
          <w:rFonts w:ascii="Arial" w:hAnsi="Arial" w:cs="Arial"/>
          <w:b/>
          <w:bCs/>
          <w:color w:val="2E74B5" w:themeColor="accent5" w:themeShade="BF"/>
          <w:spacing w:val="5"/>
          <w:sz w:val="24"/>
          <w:szCs w:val="24"/>
        </w:rPr>
      </w:pPr>
      <w:r w:rsidRPr="0057530C">
        <w:rPr>
          <w:rFonts w:ascii="Arial" w:hAnsi="Arial" w:cs="Arial"/>
          <w:b/>
          <w:bCs/>
          <w:color w:val="2E74B5" w:themeColor="accent5" w:themeShade="BF"/>
          <w:spacing w:val="5"/>
          <w:sz w:val="24"/>
          <w:szCs w:val="24"/>
        </w:rPr>
        <w:lastRenderedPageBreak/>
        <w:t>TERCERA LEY</w:t>
      </w:r>
      <w:r w:rsidR="00D01AC5" w:rsidRPr="0057530C">
        <w:rPr>
          <w:rFonts w:ascii="Arial" w:hAnsi="Arial" w:cs="Arial"/>
          <w:b/>
          <w:bCs/>
          <w:color w:val="2E74B5" w:themeColor="accent5" w:themeShade="BF"/>
          <w:spacing w:val="5"/>
          <w:sz w:val="24"/>
          <w:szCs w:val="24"/>
        </w:rPr>
        <w:t xml:space="preserve"> DE TRANSPARENCIA</w:t>
      </w:r>
      <w:r w:rsidRPr="0057530C">
        <w:rPr>
          <w:rFonts w:ascii="Arial" w:hAnsi="Arial" w:cs="Arial"/>
          <w:b/>
          <w:bCs/>
          <w:color w:val="2E74B5" w:themeColor="accent5" w:themeShade="BF"/>
          <w:spacing w:val="5"/>
          <w:sz w:val="24"/>
          <w:szCs w:val="24"/>
        </w:rPr>
        <w:t xml:space="preserve">. </w:t>
      </w:r>
    </w:p>
    <w:p w14:paraId="1491FBA0" w14:textId="77777777" w:rsidR="00F435BB" w:rsidRPr="0057530C" w:rsidRDefault="00F435BB" w:rsidP="0057530C">
      <w:pPr>
        <w:pStyle w:val="Cuerpo"/>
        <w:spacing w:line="276" w:lineRule="auto"/>
        <w:jc w:val="center"/>
        <w:rPr>
          <w:rFonts w:ascii="Arial" w:hAnsi="Arial" w:cs="Arial"/>
          <w:b/>
          <w:bCs/>
          <w:color w:val="2E74B5" w:themeColor="accent5" w:themeShade="BF"/>
          <w:spacing w:val="5"/>
          <w:sz w:val="24"/>
          <w:szCs w:val="24"/>
        </w:rPr>
      </w:pPr>
    </w:p>
    <w:p w14:paraId="1EB40F97" w14:textId="16A6019F" w:rsidR="003E0299" w:rsidRPr="0057530C" w:rsidRDefault="00D770F1" w:rsidP="0057530C">
      <w:pPr>
        <w:pStyle w:val="Cuerpo"/>
        <w:spacing w:line="276" w:lineRule="auto"/>
        <w:jc w:val="both"/>
        <w:rPr>
          <w:rFonts w:ascii="Arial" w:hAnsi="Arial" w:cs="Arial"/>
          <w:spacing w:val="5"/>
          <w:sz w:val="24"/>
          <w:szCs w:val="24"/>
        </w:rPr>
      </w:pPr>
      <w:r w:rsidRPr="0057530C">
        <w:rPr>
          <w:rFonts w:ascii="Arial" w:hAnsi="Arial" w:cs="Arial"/>
          <w:noProof/>
          <w:spacing w:val="5"/>
          <w:sz w:val="24"/>
          <w:szCs w:val="24"/>
        </w:rPr>
        <w:drawing>
          <wp:anchor distT="0" distB="0" distL="114300" distR="114300" simplePos="0" relativeHeight="251661312" behindDoc="1" locked="0" layoutInCell="1" allowOverlap="1" wp14:anchorId="7998E62F" wp14:editId="5A23D387">
            <wp:simplePos x="0" y="0"/>
            <wp:positionH relativeFrom="margin">
              <wp:align>left</wp:align>
            </wp:positionH>
            <wp:positionV relativeFrom="paragraph">
              <wp:posOffset>7708</wp:posOffset>
            </wp:positionV>
            <wp:extent cx="2667600" cy="3625200"/>
            <wp:effectExtent l="0" t="0" r="0" b="0"/>
            <wp:wrapTight wrapText="bothSides">
              <wp:wrapPolygon edited="0">
                <wp:start x="0" y="0"/>
                <wp:lineTo x="0" y="21456"/>
                <wp:lineTo x="21446" y="21456"/>
                <wp:lineTo x="21446" y="0"/>
                <wp:lineTo x="0" y="0"/>
              </wp:wrapPolygon>
            </wp:wrapTight>
            <wp:docPr id="1190572427" name="Imagen 1" descr="Interfaz de usuario gráfica, Texto,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0572427" name="Imagen 1" descr="Interfaz de usuario gráfica, Texto, Aplicación&#10;&#10;Descripción generada automáticament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667600" cy="3625200"/>
                    </a:xfrm>
                    <a:prstGeom prst="rect">
                      <a:avLst/>
                    </a:prstGeom>
                  </pic:spPr>
                </pic:pic>
              </a:graphicData>
            </a:graphic>
            <wp14:sizeRelH relativeFrom="margin">
              <wp14:pctWidth>0</wp14:pctWidth>
            </wp14:sizeRelH>
            <wp14:sizeRelV relativeFrom="margin">
              <wp14:pctHeight>0</wp14:pctHeight>
            </wp14:sizeRelV>
          </wp:anchor>
        </w:drawing>
      </w:r>
      <w:r w:rsidR="003E0299" w:rsidRPr="0057530C">
        <w:rPr>
          <w:rFonts w:ascii="Arial" w:hAnsi="Arial" w:cs="Arial"/>
          <w:spacing w:val="5"/>
          <w:sz w:val="24"/>
          <w:szCs w:val="24"/>
        </w:rPr>
        <w:t xml:space="preserve">El </w:t>
      </w:r>
      <w:r w:rsidR="003E0299" w:rsidRPr="0057530C">
        <w:rPr>
          <w:rFonts w:ascii="Arial" w:hAnsi="Arial" w:cs="Arial"/>
          <w:b/>
          <w:bCs/>
          <w:spacing w:val="5"/>
          <w:sz w:val="24"/>
          <w:szCs w:val="24"/>
        </w:rPr>
        <w:t>18 de octubre de 2013</w:t>
      </w:r>
      <w:r w:rsidR="003E0299" w:rsidRPr="0057530C">
        <w:rPr>
          <w:rFonts w:ascii="Arial" w:hAnsi="Arial" w:cs="Arial"/>
          <w:spacing w:val="5"/>
          <w:sz w:val="24"/>
          <w:szCs w:val="24"/>
        </w:rPr>
        <w:t xml:space="preserve"> se emitió la </w:t>
      </w:r>
      <w:r w:rsidR="003E0299" w:rsidRPr="0057530C">
        <w:rPr>
          <w:rFonts w:ascii="Arial" w:hAnsi="Arial" w:cs="Arial"/>
          <w:b/>
          <w:bCs/>
          <w:spacing w:val="5"/>
          <w:sz w:val="24"/>
          <w:szCs w:val="24"/>
        </w:rPr>
        <w:t>Ley de Transparencia y Acceso a la Información Pública para el Estado y los Municipios de Guanajuato</w:t>
      </w:r>
      <w:r w:rsidR="003E0299" w:rsidRPr="0057530C">
        <w:rPr>
          <w:rFonts w:ascii="Arial" w:hAnsi="Arial" w:cs="Arial"/>
          <w:spacing w:val="5"/>
          <w:sz w:val="24"/>
          <w:szCs w:val="24"/>
        </w:rPr>
        <w:t xml:space="preserve">, la cual introdujo una importante novedad: </w:t>
      </w:r>
      <w:r w:rsidR="003E0299" w:rsidRPr="0057530C">
        <w:rPr>
          <w:rFonts w:ascii="Arial" w:hAnsi="Arial" w:cs="Arial"/>
          <w:b/>
          <w:bCs/>
          <w:spacing w:val="5"/>
          <w:sz w:val="24"/>
          <w:szCs w:val="24"/>
        </w:rPr>
        <w:t>la autonomía del Instituto de Acceso a la Información Pública para el Estado de Guanajuato</w:t>
      </w:r>
      <w:r w:rsidR="003E0299" w:rsidRPr="0057530C">
        <w:rPr>
          <w:rFonts w:ascii="Arial" w:hAnsi="Arial" w:cs="Arial"/>
          <w:spacing w:val="5"/>
          <w:sz w:val="24"/>
          <w:szCs w:val="24"/>
        </w:rPr>
        <w:t xml:space="preserve">. </w:t>
      </w:r>
    </w:p>
    <w:p w14:paraId="710217BD" w14:textId="77777777" w:rsidR="003E0299" w:rsidRPr="0057530C" w:rsidRDefault="003E0299" w:rsidP="0057530C">
      <w:pPr>
        <w:pStyle w:val="Cuerpo"/>
        <w:spacing w:line="276" w:lineRule="auto"/>
        <w:jc w:val="both"/>
        <w:rPr>
          <w:rFonts w:ascii="Arial" w:hAnsi="Arial" w:cs="Arial"/>
          <w:spacing w:val="5"/>
          <w:sz w:val="24"/>
          <w:szCs w:val="24"/>
        </w:rPr>
      </w:pPr>
    </w:p>
    <w:p w14:paraId="1E1045FE" w14:textId="7CC6C860" w:rsidR="003E0299" w:rsidRPr="0057530C" w:rsidRDefault="003E0299"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Además, se amplió la lista de sujetos obligados, incluyendo a cualquier persona física, entidad, organismo u organización que recibiera recursos públicos del Estado. Estos sujetos están obligados a proporcionar información que esté relacionada únicamente con la actividad subsidiada.</w:t>
      </w:r>
    </w:p>
    <w:p w14:paraId="7159E408" w14:textId="77777777" w:rsidR="003E0299" w:rsidRPr="0057530C" w:rsidRDefault="003E0299" w:rsidP="0057530C">
      <w:pPr>
        <w:pStyle w:val="Cuerpo"/>
        <w:spacing w:line="276" w:lineRule="auto"/>
        <w:jc w:val="both"/>
        <w:rPr>
          <w:rFonts w:ascii="Arial" w:hAnsi="Arial" w:cs="Arial"/>
          <w:spacing w:val="5"/>
          <w:sz w:val="24"/>
          <w:szCs w:val="24"/>
        </w:rPr>
      </w:pPr>
    </w:p>
    <w:p w14:paraId="208E010B" w14:textId="77777777" w:rsidR="003E0299" w:rsidRPr="0057530C" w:rsidRDefault="003E0299"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Entre las nuevas obligaciones de transparencia que se añadieron se encuentran la publicación de la cuenta pública, el padrón mobiliario y los gastos de representación y viáticos de las personas servidoras públicas.</w:t>
      </w:r>
    </w:p>
    <w:p w14:paraId="02CAB979" w14:textId="77777777" w:rsidR="003E0299" w:rsidRPr="0057530C" w:rsidRDefault="003E0299" w:rsidP="0057530C">
      <w:pPr>
        <w:pStyle w:val="Cuerpo"/>
        <w:spacing w:line="276" w:lineRule="auto"/>
        <w:jc w:val="both"/>
        <w:rPr>
          <w:rFonts w:ascii="Arial" w:hAnsi="Arial" w:cs="Arial"/>
          <w:spacing w:val="5"/>
          <w:sz w:val="24"/>
          <w:szCs w:val="24"/>
        </w:rPr>
      </w:pPr>
    </w:p>
    <w:p w14:paraId="5C09D11D" w14:textId="77777777" w:rsidR="00D770F1" w:rsidRPr="0057530C" w:rsidRDefault="00D770F1" w:rsidP="0057530C">
      <w:pPr>
        <w:pStyle w:val="Cuerpo"/>
        <w:spacing w:line="276" w:lineRule="auto"/>
        <w:jc w:val="both"/>
        <w:rPr>
          <w:rFonts w:ascii="Arial" w:hAnsi="Arial" w:cs="Arial"/>
          <w:spacing w:val="5"/>
          <w:sz w:val="24"/>
          <w:szCs w:val="24"/>
        </w:rPr>
      </w:pPr>
    </w:p>
    <w:p w14:paraId="7468C243" w14:textId="77777777" w:rsidR="00D770F1" w:rsidRPr="0057530C" w:rsidRDefault="00D770F1" w:rsidP="0057530C">
      <w:pPr>
        <w:pStyle w:val="Cuerpo"/>
        <w:spacing w:line="276" w:lineRule="auto"/>
        <w:jc w:val="both"/>
        <w:rPr>
          <w:rFonts w:ascii="Arial" w:hAnsi="Arial" w:cs="Arial"/>
          <w:spacing w:val="5"/>
          <w:sz w:val="24"/>
          <w:szCs w:val="24"/>
        </w:rPr>
      </w:pPr>
    </w:p>
    <w:p w14:paraId="363A0C75" w14:textId="77777777" w:rsidR="003E0299" w:rsidRPr="0057530C" w:rsidRDefault="003E0299"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La estructura del Instituto se definió con la creación del Consejo General, la Secretaría General de Acuerdos y la Actuaría. El Consejo General estaría compuesto por 4 consejeros.</w:t>
      </w:r>
    </w:p>
    <w:p w14:paraId="6BFCB281" w14:textId="77777777" w:rsidR="003E0299" w:rsidRPr="0057530C" w:rsidRDefault="003E0299" w:rsidP="0057530C">
      <w:pPr>
        <w:pStyle w:val="Cuerpo"/>
        <w:spacing w:line="276" w:lineRule="auto"/>
        <w:jc w:val="both"/>
        <w:rPr>
          <w:rFonts w:ascii="Arial" w:hAnsi="Arial" w:cs="Arial"/>
          <w:spacing w:val="5"/>
          <w:sz w:val="24"/>
          <w:szCs w:val="24"/>
        </w:rPr>
      </w:pPr>
    </w:p>
    <w:p w14:paraId="463743B8" w14:textId="5A0A5EDF" w:rsidR="003E0299" w:rsidRPr="0057530C" w:rsidRDefault="003E0299"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Esta ley abrogó a la emitida el 25 de septiembre de 2012, la cual estuvo vigente anteriormente.</w:t>
      </w:r>
    </w:p>
    <w:p w14:paraId="62F56B0A" w14:textId="77777777" w:rsidR="003E0299" w:rsidRPr="0057530C" w:rsidRDefault="003E0299" w:rsidP="0057530C">
      <w:pPr>
        <w:pStyle w:val="Cuerpo"/>
        <w:spacing w:line="276" w:lineRule="auto"/>
        <w:jc w:val="both"/>
        <w:rPr>
          <w:rFonts w:ascii="Arial" w:hAnsi="Arial" w:cs="Arial"/>
          <w:spacing w:val="5"/>
          <w:sz w:val="24"/>
          <w:szCs w:val="24"/>
        </w:rPr>
      </w:pPr>
    </w:p>
    <w:p w14:paraId="2D600270" w14:textId="77777777" w:rsidR="008A353D" w:rsidRPr="0057530C" w:rsidRDefault="008A353D" w:rsidP="0057530C">
      <w:pPr>
        <w:pStyle w:val="Cuerpo"/>
        <w:spacing w:line="276" w:lineRule="auto"/>
        <w:jc w:val="both"/>
        <w:rPr>
          <w:rFonts w:ascii="Arial" w:hAnsi="Arial" w:cs="Arial"/>
          <w:spacing w:val="5"/>
          <w:sz w:val="24"/>
          <w:szCs w:val="24"/>
        </w:rPr>
      </w:pPr>
    </w:p>
    <w:p w14:paraId="3339EA09" w14:textId="77777777" w:rsidR="005D2FE5" w:rsidRPr="0057530C" w:rsidRDefault="005D2FE5" w:rsidP="0057530C">
      <w:pPr>
        <w:pStyle w:val="Cuerpo"/>
        <w:spacing w:line="276" w:lineRule="auto"/>
        <w:jc w:val="both"/>
        <w:rPr>
          <w:rFonts w:ascii="Arial" w:hAnsi="Arial" w:cs="Arial"/>
          <w:spacing w:val="5"/>
          <w:sz w:val="24"/>
          <w:szCs w:val="24"/>
        </w:rPr>
      </w:pPr>
    </w:p>
    <w:p w14:paraId="1A8D8A47" w14:textId="77777777" w:rsidR="005D2FE5" w:rsidRPr="0057530C" w:rsidRDefault="005D2FE5" w:rsidP="0057530C">
      <w:pPr>
        <w:pStyle w:val="Cuerpo"/>
        <w:spacing w:line="276" w:lineRule="auto"/>
        <w:jc w:val="both"/>
        <w:rPr>
          <w:rFonts w:ascii="Arial" w:hAnsi="Arial" w:cs="Arial"/>
          <w:spacing w:val="5"/>
          <w:sz w:val="24"/>
          <w:szCs w:val="24"/>
        </w:rPr>
      </w:pPr>
    </w:p>
    <w:p w14:paraId="3A5EFCA2" w14:textId="77777777" w:rsidR="005D2FE5" w:rsidRPr="0057530C" w:rsidRDefault="005D2FE5" w:rsidP="0057530C">
      <w:pPr>
        <w:pStyle w:val="Cuerpo"/>
        <w:spacing w:line="276" w:lineRule="auto"/>
        <w:jc w:val="both"/>
        <w:rPr>
          <w:rFonts w:ascii="Arial" w:hAnsi="Arial" w:cs="Arial"/>
          <w:spacing w:val="5"/>
          <w:sz w:val="24"/>
          <w:szCs w:val="24"/>
        </w:rPr>
      </w:pPr>
    </w:p>
    <w:p w14:paraId="7012B5DA" w14:textId="77777777" w:rsidR="005D2FE5" w:rsidRPr="0057530C" w:rsidRDefault="005D2FE5" w:rsidP="0057530C">
      <w:pPr>
        <w:pStyle w:val="Cuerpo"/>
        <w:spacing w:line="276" w:lineRule="auto"/>
        <w:jc w:val="both"/>
        <w:rPr>
          <w:rFonts w:ascii="Arial" w:hAnsi="Arial" w:cs="Arial"/>
          <w:spacing w:val="5"/>
          <w:sz w:val="24"/>
          <w:szCs w:val="24"/>
        </w:rPr>
      </w:pPr>
    </w:p>
    <w:p w14:paraId="1C29CE03" w14:textId="77777777" w:rsidR="005D2FE5" w:rsidRPr="0057530C" w:rsidRDefault="005D2FE5" w:rsidP="0057530C">
      <w:pPr>
        <w:pStyle w:val="Cuerpo"/>
        <w:spacing w:line="276" w:lineRule="auto"/>
        <w:jc w:val="both"/>
        <w:rPr>
          <w:rFonts w:ascii="Arial" w:hAnsi="Arial" w:cs="Arial"/>
          <w:spacing w:val="5"/>
          <w:sz w:val="24"/>
          <w:szCs w:val="24"/>
        </w:rPr>
      </w:pPr>
    </w:p>
    <w:p w14:paraId="0DAFC146" w14:textId="77777777" w:rsidR="005D2FE5" w:rsidRPr="0057530C" w:rsidRDefault="005D2FE5" w:rsidP="0057530C">
      <w:pPr>
        <w:pStyle w:val="Cuerpo"/>
        <w:spacing w:line="276" w:lineRule="auto"/>
        <w:jc w:val="both"/>
        <w:rPr>
          <w:rFonts w:ascii="Arial" w:hAnsi="Arial" w:cs="Arial"/>
          <w:spacing w:val="5"/>
          <w:sz w:val="24"/>
          <w:szCs w:val="24"/>
        </w:rPr>
      </w:pPr>
    </w:p>
    <w:p w14:paraId="26B9855D" w14:textId="04771826" w:rsidR="004C231F" w:rsidRPr="0057530C" w:rsidRDefault="004C231F" w:rsidP="0057530C">
      <w:pPr>
        <w:pStyle w:val="Cuerpo"/>
        <w:spacing w:line="276" w:lineRule="auto"/>
        <w:jc w:val="center"/>
        <w:rPr>
          <w:rFonts w:ascii="Arial" w:hAnsi="Arial" w:cs="Arial"/>
          <w:b/>
          <w:bCs/>
          <w:color w:val="FF0000"/>
          <w:spacing w:val="5"/>
          <w:sz w:val="24"/>
          <w:szCs w:val="24"/>
        </w:rPr>
      </w:pPr>
      <w:r w:rsidRPr="0057530C">
        <w:rPr>
          <w:rFonts w:ascii="Arial" w:hAnsi="Arial" w:cs="Arial"/>
          <w:b/>
          <w:bCs/>
          <w:color w:val="FF0000"/>
          <w:spacing w:val="5"/>
          <w:sz w:val="24"/>
          <w:szCs w:val="24"/>
        </w:rPr>
        <w:t xml:space="preserve">REFORMA CONSTITUCIONAL </w:t>
      </w:r>
      <w:r w:rsidR="00D01AC5" w:rsidRPr="0057530C">
        <w:rPr>
          <w:rFonts w:ascii="Arial" w:hAnsi="Arial" w:cs="Arial"/>
          <w:b/>
          <w:bCs/>
          <w:color w:val="FF0000"/>
          <w:spacing w:val="5"/>
          <w:sz w:val="24"/>
          <w:szCs w:val="24"/>
        </w:rPr>
        <w:t xml:space="preserve">MATERIA DE DERECHOS DE ACCESO A LA INFORMACIÓN PÚBLICA, PROTECCIÓN DE DATOS PERSONALES Y </w:t>
      </w:r>
      <w:r w:rsidR="00800A6B" w:rsidRPr="0057530C">
        <w:rPr>
          <w:rFonts w:ascii="Arial" w:hAnsi="Arial" w:cs="Arial"/>
          <w:b/>
          <w:bCs/>
          <w:color w:val="FF0000"/>
          <w:spacing w:val="5"/>
          <w:sz w:val="24"/>
          <w:szCs w:val="24"/>
        </w:rPr>
        <w:t>AUTONOMÍA DEL IACIP.</w:t>
      </w:r>
    </w:p>
    <w:p w14:paraId="363E1634" w14:textId="77777777" w:rsidR="004C231F" w:rsidRPr="0057530C" w:rsidRDefault="004C231F" w:rsidP="0057530C">
      <w:pPr>
        <w:pStyle w:val="Cuerpo"/>
        <w:spacing w:line="276" w:lineRule="auto"/>
        <w:jc w:val="both"/>
        <w:rPr>
          <w:rFonts w:ascii="Arial" w:hAnsi="Arial" w:cs="Arial"/>
          <w:b/>
          <w:bCs/>
          <w:spacing w:val="5"/>
          <w:sz w:val="24"/>
          <w:szCs w:val="24"/>
        </w:rPr>
      </w:pPr>
    </w:p>
    <w:p w14:paraId="6A379C29" w14:textId="77777777" w:rsidR="007E5BB5" w:rsidRPr="0057530C" w:rsidRDefault="007E5BB5" w:rsidP="0057530C">
      <w:pPr>
        <w:pStyle w:val="Cuerpo"/>
        <w:spacing w:line="276" w:lineRule="auto"/>
        <w:jc w:val="both"/>
        <w:rPr>
          <w:rFonts w:ascii="Arial" w:hAnsi="Arial" w:cs="Arial"/>
          <w:spacing w:val="5"/>
          <w:sz w:val="24"/>
          <w:szCs w:val="24"/>
        </w:rPr>
      </w:pPr>
    </w:p>
    <w:p w14:paraId="6584D470" w14:textId="6E8B60D8" w:rsidR="005D2FE5" w:rsidRPr="0057530C" w:rsidRDefault="005D2FE5" w:rsidP="0057530C">
      <w:pPr>
        <w:pStyle w:val="Cuerpo"/>
        <w:spacing w:line="276" w:lineRule="auto"/>
        <w:jc w:val="both"/>
        <w:rPr>
          <w:rFonts w:ascii="Arial" w:hAnsi="Arial" w:cs="Arial"/>
          <w:spacing w:val="5"/>
          <w:sz w:val="24"/>
          <w:szCs w:val="24"/>
        </w:rPr>
      </w:pPr>
      <w:r w:rsidRPr="0057530C">
        <w:rPr>
          <w:rFonts w:ascii="Arial" w:hAnsi="Arial" w:cs="Arial"/>
          <w:noProof/>
          <w:spacing w:val="5"/>
          <w:sz w:val="24"/>
          <w:szCs w:val="24"/>
        </w:rPr>
        <w:drawing>
          <wp:anchor distT="0" distB="0" distL="114300" distR="114300" simplePos="0" relativeHeight="251662336" behindDoc="1" locked="0" layoutInCell="1" allowOverlap="1" wp14:anchorId="740F2FAF" wp14:editId="4DA8A737">
            <wp:simplePos x="0" y="0"/>
            <wp:positionH relativeFrom="column">
              <wp:posOffset>0</wp:posOffset>
            </wp:positionH>
            <wp:positionV relativeFrom="paragraph">
              <wp:posOffset>-295</wp:posOffset>
            </wp:positionV>
            <wp:extent cx="2718000" cy="3675600"/>
            <wp:effectExtent l="0" t="0" r="6350" b="1270"/>
            <wp:wrapTight wrapText="bothSides">
              <wp:wrapPolygon edited="0">
                <wp:start x="0" y="0"/>
                <wp:lineTo x="0" y="21496"/>
                <wp:lineTo x="21499" y="21496"/>
                <wp:lineTo x="21499" y="0"/>
                <wp:lineTo x="0" y="0"/>
              </wp:wrapPolygon>
            </wp:wrapTight>
            <wp:docPr id="897072971" name="Imagen 1" descr="Interfaz de usuario gráfica, Texto,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072971" name="Imagen 1" descr="Interfaz de usuario gráfica, Texto, Aplicación&#10;&#10;Descripción generada automáticament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18000" cy="3675600"/>
                    </a:xfrm>
                    <a:prstGeom prst="rect">
                      <a:avLst/>
                    </a:prstGeom>
                  </pic:spPr>
                </pic:pic>
              </a:graphicData>
            </a:graphic>
            <wp14:sizeRelH relativeFrom="margin">
              <wp14:pctWidth>0</wp14:pctWidth>
            </wp14:sizeRelH>
            <wp14:sizeRelV relativeFrom="margin">
              <wp14:pctHeight>0</wp14:pctHeight>
            </wp14:sizeRelV>
          </wp:anchor>
        </w:drawing>
      </w:r>
    </w:p>
    <w:p w14:paraId="06E6A56E" w14:textId="1E2EB7C0" w:rsidR="004C231F" w:rsidRPr="0057530C" w:rsidRDefault="004C231F"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El </w:t>
      </w:r>
      <w:r w:rsidRPr="0057530C">
        <w:rPr>
          <w:rFonts w:ascii="Arial" w:hAnsi="Arial" w:cs="Arial"/>
          <w:b/>
          <w:bCs/>
          <w:spacing w:val="5"/>
          <w:sz w:val="24"/>
          <w:szCs w:val="24"/>
        </w:rPr>
        <w:t>6 de diciembre de 2013</w:t>
      </w:r>
      <w:r w:rsidRPr="0057530C">
        <w:rPr>
          <w:rFonts w:ascii="Arial" w:hAnsi="Arial" w:cs="Arial"/>
          <w:spacing w:val="5"/>
          <w:sz w:val="24"/>
          <w:szCs w:val="24"/>
        </w:rPr>
        <w:t xml:space="preserve">, en consonancia con la recién promulgada Ley de Transparencia y Acceso a la Información Pública para el Estado y los Municipios de Guanajuato, que tuvo lugar el 18 de octubre del mismo año, se llevó a cabo una importante reforma en la </w:t>
      </w:r>
      <w:r w:rsidRPr="0057530C">
        <w:rPr>
          <w:rFonts w:ascii="Arial" w:hAnsi="Arial" w:cs="Arial"/>
          <w:b/>
          <w:bCs/>
          <w:spacing w:val="5"/>
          <w:sz w:val="24"/>
          <w:szCs w:val="24"/>
        </w:rPr>
        <w:t>Constitución Política del Estado de Guanajuato</w:t>
      </w:r>
      <w:r w:rsidRPr="0057530C">
        <w:rPr>
          <w:rFonts w:ascii="Arial" w:hAnsi="Arial" w:cs="Arial"/>
          <w:spacing w:val="5"/>
          <w:sz w:val="24"/>
          <w:szCs w:val="24"/>
        </w:rPr>
        <w:t>. Esta reforma consistió en la adición del apartado B al artículo 14, el cual introdujo las bases fundamentales para garantizar los derechos de acceso a la información pública y protección de datos personales.</w:t>
      </w:r>
    </w:p>
    <w:p w14:paraId="59652CF3" w14:textId="77777777" w:rsidR="004C231F" w:rsidRPr="0057530C" w:rsidRDefault="004C231F" w:rsidP="0057530C">
      <w:pPr>
        <w:pStyle w:val="Cuerpo"/>
        <w:spacing w:line="276" w:lineRule="auto"/>
        <w:jc w:val="both"/>
        <w:rPr>
          <w:rFonts w:ascii="Arial" w:hAnsi="Arial" w:cs="Arial"/>
          <w:spacing w:val="5"/>
          <w:sz w:val="24"/>
          <w:szCs w:val="24"/>
        </w:rPr>
      </w:pPr>
    </w:p>
    <w:p w14:paraId="197A44C4" w14:textId="77777777" w:rsidR="004C231F" w:rsidRPr="0057530C" w:rsidRDefault="004C231F"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Dentro de las bases constitucionales que establecieron estos derechos, destacan las siguientes:</w:t>
      </w:r>
    </w:p>
    <w:p w14:paraId="02ACC88E" w14:textId="77777777" w:rsidR="004C231F" w:rsidRPr="0057530C" w:rsidRDefault="004C231F" w:rsidP="0057530C">
      <w:pPr>
        <w:pStyle w:val="Cuerpo"/>
        <w:spacing w:line="276" w:lineRule="auto"/>
        <w:jc w:val="both"/>
        <w:rPr>
          <w:rFonts w:ascii="Arial" w:hAnsi="Arial" w:cs="Arial"/>
          <w:spacing w:val="5"/>
          <w:sz w:val="24"/>
          <w:szCs w:val="24"/>
        </w:rPr>
      </w:pPr>
    </w:p>
    <w:p w14:paraId="3996AFA6" w14:textId="77777777" w:rsidR="004C231F" w:rsidRPr="0057530C" w:rsidRDefault="004C231F"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Se consagró el principio de máxima publicidad para la información pública en posesión de los poderes del Estado, así como de cualquier autoridad, órgano estatal y municipal, incluyendo los organismos autónomos.</w:t>
      </w:r>
    </w:p>
    <w:p w14:paraId="64DD58C2" w14:textId="77777777" w:rsidR="004C231F" w:rsidRPr="0057530C" w:rsidRDefault="004C231F" w:rsidP="0057530C">
      <w:pPr>
        <w:pStyle w:val="Cuerpo"/>
        <w:spacing w:line="276" w:lineRule="auto"/>
        <w:jc w:val="both"/>
        <w:rPr>
          <w:rFonts w:ascii="Arial" w:hAnsi="Arial" w:cs="Arial"/>
          <w:spacing w:val="5"/>
          <w:sz w:val="24"/>
          <w:szCs w:val="24"/>
        </w:rPr>
      </w:pPr>
    </w:p>
    <w:p w14:paraId="1AA2F913" w14:textId="77777777" w:rsidR="004C231F" w:rsidRPr="0057530C" w:rsidRDefault="004C231F"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Se garantizó el acceso de toda persona a sus datos personales, así como el derecho a solicitar su rectificación, cancelación u oposición.</w:t>
      </w:r>
    </w:p>
    <w:p w14:paraId="793A0545" w14:textId="77777777" w:rsidR="004C231F" w:rsidRPr="0057530C" w:rsidRDefault="004C231F" w:rsidP="0057530C">
      <w:pPr>
        <w:pStyle w:val="Cuerpo"/>
        <w:spacing w:line="276" w:lineRule="auto"/>
        <w:jc w:val="both"/>
        <w:rPr>
          <w:rFonts w:ascii="Arial" w:hAnsi="Arial" w:cs="Arial"/>
          <w:spacing w:val="5"/>
          <w:sz w:val="24"/>
          <w:szCs w:val="24"/>
        </w:rPr>
      </w:pPr>
    </w:p>
    <w:p w14:paraId="41E9312F" w14:textId="4390C553" w:rsidR="004C231F" w:rsidRPr="0057530C" w:rsidRDefault="004C231F"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 xml:space="preserve">Se estableció el IACIP como la única instancia facultada para resolver las controversias relacionadas con los derechos de acceso a la información pública y protección de datos personales. </w:t>
      </w:r>
      <w:r w:rsidR="00C879AC" w:rsidRPr="0057530C">
        <w:rPr>
          <w:rFonts w:ascii="Arial" w:hAnsi="Arial" w:cs="Arial"/>
          <w:spacing w:val="5"/>
          <w:sz w:val="24"/>
          <w:szCs w:val="24"/>
        </w:rPr>
        <w:t xml:space="preserve">Sus </w:t>
      </w:r>
      <w:r w:rsidRPr="0057530C">
        <w:rPr>
          <w:rFonts w:ascii="Arial" w:hAnsi="Arial" w:cs="Arial"/>
          <w:spacing w:val="5"/>
          <w:sz w:val="24"/>
          <w:szCs w:val="24"/>
        </w:rPr>
        <w:t xml:space="preserve">resoluciones </w:t>
      </w:r>
      <w:r w:rsidR="00C879AC" w:rsidRPr="0057530C">
        <w:rPr>
          <w:rFonts w:ascii="Arial" w:hAnsi="Arial" w:cs="Arial"/>
          <w:spacing w:val="5"/>
          <w:sz w:val="24"/>
          <w:szCs w:val="24"/>
        </w:rPr>
        <w:t xml:space="preserve">con </w:t>
      </w:r>
      <w:r w:rsidRPr="0057530C">
        <w:rPr>
          <w:rFonts w:ascii="Arial" w:hAnsi="Arial" w:cs="Arial"/>
          <w:spacing w:val="5"/>
          <w:sz w:val="24"/>
          <w:szCs w:val="24"/>
        </w:rPr>
        <w:t>carácter vinculante, definitivo e irrevocable para los sujetos obligados.</w:t>
      </w:r>
    </w:p>
    <w:p w14:paraId="2A10C180" w14:textId="77777777" w:rsidR="004C231F" w:rsidRPr="0057530C" w:rsidRDefault="004C231F" w:rsidP="0057530C">
      <w:pPr>
        <w:pStyle w:val="Cuerpo"/>
        <w:spacing w:line="276" w:lineRule="auto"/>
        <w:jc w:val="both"/>
        <w:rPr>
          <w:rFonts w:ascii="Arial" w:hAnsi="Arial" w:cs="Arial"/>
          <w:spacing w:val="5"/>
          <w:sz w:val="24"/>
          <w:szCs w:val="24"/>
        </w:rPr>
      </w:pPr>
    </w:p>
    <w:p w14:paraId="5FDC14C7" w14:textId="3ABB8EF6" w:rsidR="004C231F" w:rsidRPr="0057530C" w:rsidRDefault="004C231F"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lastRenderedPageBreak/>
        <w:t xml:space="preserve">Se otorgó al IACIP </w:t>
      </w:r>
      <w:r w:rsidR="006A4B1C" w:rsidRPr="0057530C">
        <w:rPr>
          <w:rFonts w:ascii="Arial" w:hAnsi="Arial" w:cs="Arial"/>
          <w:spacing w:val="5"/>
          <w:sz w:val="24"/>
          <w:szCs w:val="24"/>
        </w:rPr>
        <w:t xml:space="preserve">su </w:t>
      </w:r>
      <w:r w:rsidRPr="0057530C">
        <w:rPr>
          <w:rFonts w:ascii="Arial" w:hAnsi="Arial" w:cs="Arial"/>
          <w:spacing w:val="5"/>
          <w:sz w:val="24"/>
          <w:szCs w:val="24"/>
        </w:rPr>
        <w:t xml:space="preserve">autonomía </w:t>
      </w:r>
      <w:r w:rsidR="006A4B1C" w:rsidRPr="0057530C">
        <w:rPr>
          <w:rFonts w:ascii="Arial" w:hAnsi="Arial" w:cs="Arial"/>
          <w:spacing w:val="5"/>
          <w:sz w:val="24"/>
          <w:szCs w:val="24"/>
        </w:rPr>
        <w:t xml:space="preserve">en el </w:t>
      </w:r>
      <w:r w:rsidRPr="0057530C">
        <w:rPr>
          <w:rFonts w:ascii="Arial" w:hAnsi="Arial" w:cs="Arial"/>
          <w:spacing w:val="5"/>
          <w:sz w:val="24"/>
          <w:szCs w:val="24"/>
        </w:rPr>
        <w:t>rango constitucional y se establecieron los principios que guían su funcionamiento, tales como certeza, legalidad, independencia, imparcialidad, eficacia, objetividad, transparencia y máxima publicidad.</w:t>
      </w:r>
    </w:p>
    <w:p w14:paraId="191608DC" w14:textId="77777777" w:rsidR="004C231F" w:rsidRPr="0057530C" w:rsidRDefault="004C231F" w:rsidP="0057530C">
      <w:pPr>
        <w:pStyle w:val="Cuerpo"/>
        <w:spacing w:line="276" w:lineRule="auto"/>
        <w:jc w:val="both"/>
        <w:rPr>
          <w:rFonts w:ascii="Arial" w:hAnsi="Arial" w:cs="Arial"/>
          <w:spacing w:val="5"/>
          <w:sz w:val="24"/>
          <w:szCs w:val="24"/>
        </w:rPr>
      </w:pPr>
    </w:p>
    <w:p w14:paraId="7D5EAF58" w14:textId="77777777" w:rsidR="004C231F" w:rsidRPr="0057530C" w:rsidRDefault="004C231F"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La integración del IACIP quedó conformada por 4 consejeros, con una duración de 7 años en el cargo, quienes son propuestos por el Poder Ejecutivo y designados por el Congreso del Estado.</w:t>
      </w:r>
    </w:p>
    <w:p w14:paraId="3479B17D" w14:textId="77777777" w:rsidR="004C231F" w:rsidRPr="0057530C" w:rsidRDefault="004C231F" w:rsidP="0057530C">
      <w:pPr>
        <w:pStyle w:val="Cuerpo"/>
        <w:spacing w:line="276" w:lineRule="auto"/>
        <w:jc w:val="both"/>
        <w:rPr>
          <w:rFonts w:ascii="Arial" w:hAnsi="Arial" w:cs="Arial"/>
          <w:spacing w:val="5"/>
          <w:sz w:val="24"/>
          <w:szCs w:val="24"/>
        </w:rPr>
      </w:pPr>
    </w:p>
    <w:p w14:paraId="23A04497" w14:textId="4160C27B" w:rsidR="004C231F" w:rsidRPr="0057530C" w:rsidRDefault="004C231F" w:rsidP="0057530C">
      <w:pPr>
        <w:pStyle w:val="Cuerpo"/>
        <w:spacing w:line="276" w:lineRule="auto"/>
        <w:jc w:val="both"/>
        <w:rPr>
          <w:rFonts w:ascii="Arial" w:hAnsi="Arial" w:cs="Arial"/>
          <w:spacing w:val="5"/>
          <w:sz w:val="24"/>
          <w:szCs w:val="24"/>
        </w:rPr>
      </w:pPr>
      <w:r w:rsidRPr="0057530C">
        <w:rPr>
          <w:rFonts w:ascii="Arial" w:hAnsi="Arial" w:cs="Arial"/>
          <w:spacing w:val="5"/>
          <w:sz w:val="24"/>
          <w:szCs w:val="24"/>
        </w:rPr>
        <w:t>Esta reforma constitucional represent</w:t>
      </w:r>
      <w:r w:rsidR="006A4B1C" w:rsidRPr="0057530C">
        <w:rPr>
          <w:rFonts w:ascii="Arial" w:hAnsi="Arial" w:cs="Arial"/>
          <w:spacing w:val="5"/>
          <w:sz w:val="24"/>
          <w:szCs w:val="24"/>
        </w:rPr>
        <w:t>ó</w:t>
      </w:r>
      <w:r w:rsidRPr="0057530C">
        <w:rPr>
          <w:rFonts w:ascii="Arial" w:hAnsi="Arial" w:cs="Arial"/>
          <w:spacing w:val="5"/>
          <w:sz w:val="24"/>
          <w:szCs w:val="24"/>
        </w:rPr>
        <w:t xml:space="preserve"> un avance significativo en el fortalecimiento de la transparencia y el resguardo de datos personales en el Estado garantizando el acceso a la información y protegiendo los derechos de l</w:t>
      </w:r>
      <w:r w:rsidR="006A4B1C" w:rsidRPr="0057530C">
        <w:rPr>
          <w:rFonts w:ascii="Arial" w:hAnsi="Arial" w:cs="Arial"/>
          <w:spacing w:val="5"/>
          <w:sz w:val="24"/>
          <w:szCs w:val="24"/>
        </w:rPr>
        <w:t>a</w:t>
      </w:r>
      <w:r w:rsidRPr="0057530C">
        <w:rPr>
          <w:rFonts w:ascii="Arial" w:hAnsi="Arial" w:cs="Arial"/>
          <w:spacing w:val="5"/>
          <w:sz w:val="24"/>
          <w:szCs w:val="24"/>
        </w:rPr>
        <w:t xml:space="preserve"> ciudadan</w:t>
      </w:r>
      <w:r w:rsidR="006A4B1C" w:rsidRPr="0057530C">
        <w:rPr>
          <w:rFonts w:ascii="Arial" w:hAnsi="Arial" w:cs="Arial"/>
          <w:spacing w:val="5"/>
          <w:sz w:val="24"/>
          <w:szCs w:val="24"/>
        </w:rPr>
        <w:t xml:space="preserve">ía a nivel constitucional. </w:t>
      </w:r>
    </w:p>
    <w:p w14:paraId="56BF71BC" w14:textId="77777777" w:rsidR="00476652" w:rsidRPr="0057530C" w:rsidRDefault="00476652" w:rsidP="0057530C">
      <w:pPr>
        <w:pStyle w:val="Cuerpo"/>
        <w:spacing w:line="276" w:lineRule="auto"/>
        <w:jc w:val="center"/>
        <w:rPr>
          <w:rFonts w:ascii="Arial" w:hAnsi="Arial" w:cs="Arial"/>
          <w:b/>
          <w:bCs/>
          <w:color w:val="2E74B5" w:themeColor="accent5" w:themeShade="BF"/>
          <w:spacing w:val="5"/>
          <w:sz w:val="24"/>
          <w:szCs w:val="24"/>
        </w:rPr>
      </w:pPr>
    </w:p>
    <w:p w14:paraId="53E17D22" w14:textId="77777777" w:rsidR="00476652" w:rsidRPr="0057530C" w:rsidRDefault="00476652" w:rsidP="0057530C">
      <w:pPr>
        <w:pStyle w:val="Cuerpo"/>
        <w:spacing w:line="276" w:lineRule="auto"/>
        <w:jc w:val="center"/>
        <w:rPr>
          <w:rFonts w:ascii="Arial" w:hAnsi="Arial" w:cs="Arial"/>
          <w:b/>
          <w:bCs/>
          <w:color w:val="2E74B5" w:themeColor="accent5" w:themeShade="BF"/>
          <w:spacing w:val="5"/>
          <w:sz w:val="24"/>
          <w:szCs w:val="24"/>
        </w:rPr>
      </w:pPr>
    </w:p>
    <w:p w14:paraId="33E48C72" w14:textId="77777777" w:rsidR="00476652" w:rsidRPr="0057530C" w:rsidRDefault="00476652" w:rsidP="0057530C">
      <w:pPr>
        <w:pStyle w:val="Cuerpo"/>
        <w:spacing w:line="276" w:lineRule="auto"/>
        <w:jc w:val="center"/>
        <w:rPr>
          <w:rFonts w:ascii="Arial" w:hAnsi="Arial" w:cs="Arial"/>
          <w:b/>
          <w:bCs/>
          <w:color w:val="2E74B5" w:themeColor="accent5" w:themeShade="BF"/>
          <w:spacing w:val="5"/>
          <w:sz w:val="24"/>
          <w:szCs w:val="24"/>
        </w:rPr>
      </w:pPr>
    </w:p>
    <w:p w14:paraId="54DE695F" w14:textId="77777777" w:rsidR="00DA0E1D" w:rsidRDefault="00DA0E1D">
      <w:pPr>
        <w:rPr>
          <w:rFonts w:ascii="Arial" w:eastAsia="Helvetica Neue" w:hAnsi="Arial" w:cs="Arial"/>
          <w:b/>
          <w:bCs/>
          <w:color w:val="2E74B5" w:themeColor="accent5" w:themeShade="BF"/>
          <w:spacing w:val="5"/>
          <w:kern w:val="0"/>
          <w:sz w:val="24"/>
          <w:szCs w:val="24"/>
          <w:bdr w:val="nil"/>
          <w:lang w:eastAsia="es-MX"/>
          <w14:textOutline w14:w="0" w14:cap="flat" w14:cmpd="sng" w14:algn="ctr">
            <w14:noFill/>
            <w14:prstDash w14:val="solid"/>
            <w14:bevel/>
          </w14:textOutline>
          <w14:ligatures w14:val="none"/>
        </w:rPr>
      </w:pPr>
      <w:r>
        <w:rPr>
          <w:rFonts w:ascii="Arial" w:hAnsi="Arial" w:cs="Arial"/>
          <w:b/>
          <w:bCs/>
          <w:color w:val="2E74B5" w:themeColor="accent5" w:themeShade="BF"/>
          <w:spacing w:val="5"/>
          <w:sz w:val="24"/>
          <w:szCs w:val="24"/>
        </w:rPr>
        <w:br w:type="page"/>
      </w:r>
    </w:p>
    <w:p w14:paraId="6D3EA0B6" w14:textId="353888A1" w:rsidR="00B82C7B" w:rsidRPr="0057530C" w:rsidRDefault="00B82C7B" w:rsidP="0057530C">
      <w:pPr>
        <w:pStyle w:val="Cuerpo"/>
        <w:spacing w:line="276" w:lineRule="auto"/>
        <w:jc w:val="center"/>
        <w:rPr>
          <w:rFonts w:ascii="Arial" w:hAnsi="Arial" w:cs="Arial"/>
          <w:b/>
          <w:bCs/>
          <w:color w:val="2E74B5" w:themeColor="accent5" w:themeShade="BF"/>
          <w:spacing w:val="5"/>
          <w:sz w:val="24"/>
          <w:szCs w:val="24"/>
        </w:rPr>
      </w:pPr>
      <w:r w:rsidRPr="0057530C">
        <w:rPr>
          <w:rFonts w:ascii="Arial" w:hAnsi="Arial" w:cs="Arial"/>
          <w:b/>
          <w:bCs/>
          <w:color w:val="2E74B5" w:themeColor="accent5" w:themeShade="BF"/>
          <w:spacing w:val="5"/>
          <w:sz w:val="24"/>
          <w:szCs w:val="24"/>
        </w:rPr>
        <w:lastRenderedPageBreak/>
        <w:t>CUARTA LEY DE TRANSPARENCIA. (VIGENTE A LA FECHA).</w:t>
      </w:r>
    </w:p>
    <w:p w14:paraId="164EE5BF" w14:textId="77777777" w:rsidR="007C18CF" w:rsidRPr="0057530C" w:rsidRDefault="007C18CF" w:rsidP="0057530C">
      <w:pPr>
        <w:pStyle w:val="Cuerpo"/>
        <w:spacing w:line="276" w:lineRule="auto"/>
        <w:jc w:val="center"/>
        <w:rPr>
          <w:rFonts w:ascii="Arial" w:hAnsi="Arial" w:cs="Arial"/>
          <w:b/>
          <w:bCs/>
          <w:color w:val="2E74B5" w:themeColor="accent5" w:themeShade="BF"/>
          <w:spacing w:val="5"/>
          <w:sz w:val="24"/>
          <w:szCs w:val="24"/>
        </w:rPr>
      </w:pPr>
    </w:p>
    <w:p w14:paraId="5DF78D23" w14:textId="44F7C3A6" w:rsidR="00B82C7B" w:rsidRPr="0057530C" w:rsidRDefault="00B82C7B" w:rsidP="0057530C">
      <w:pPr>
        <w:pStyle w:val="Cuerpo"/>
        <w:spacing w:line="276" w:lineRule="auto"/>
        <w:jc w:val="both"/>
        <w:rPr>
          <w:rFonts w:ascii="Arial" w:hAnsi="Arial" w:cs="Arial"/>
          <w:b/>
          <w:bCs/>
          <w:spacing w:val="5"/>
          <w:sz w:val="24"/>
          <w:szCs w:val="24"/>
        </w:rPr>
      </w:pPr>
    </w:p>
    <w:p w14:paraId="79071FB6" w14:textId="701989A6" w:rsidR="00476652" w:rsidRPr="0057530C" w:rsidRDefault="007C18CF"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noProof/>
          <w:color w:val="000000"/>
          <w:spacing w:val="5"/>
          <w:kern w:val="0"/>
          <w:sz w:val="24"/>
          <w:szCs w:val="24"/>
          <w:bdr w:val="nil"/>
          <w:lang w:eastAsia="es-MX"/>
          <w14:textOutline w14:w="0" w14:cap="flat" w14:cmpd="sng" w14:algn="ctr">
            <w14:noFill/>
            <w14:prstDash w14:val="solid"/>
            <w14:bevel/>
          </w14:textOutline>
          <w14:ligatures w14:val="none"/>
        </w:rPr>
        <w:drawing>
          <wp:anchor distT="0" distB="0" distL="114300" distR="114300" simplePos="0" relativeHeight="251663360" behindDoc="1" locked="0" layoutInCell="1" allowOverlap="1" wp14:anchorId="6219A841" wp14:editId="2B2BE2CD">
            <wp:simplePos x="0" y="0"/>
            <wp:positionH relativeFrom="column">
              <wp:posOffset>31805</wp:posOffset>
            </wp:positionH>
            <wp:positionV relativeFrom="paragraph">
              <wp:posOffset>121809</wp:posOffset>
            </wp:positionV>
            <wp:extent cx="2671200" cy="3618000"/>
            <wp:effectExtent l="133350" t="114300" r="148590" b="173355"/>
            <wp:wrapTight wrapText="bothSides">
              <wp:wrapPolygon edited="0">
                <wp:start x="-924" y="-682"/>
                <wp:lineTo x="-1078" y="21384"/>
                <wp:lineTo x="-770" y="22521"/>
                <wp:lineTo x="22185" y="22521"/>
                <wp:lineTo x="22648" y="21384"/>
                <wp:lineTo x="22648" y="1365"/>
                <wp:lineTo x="22340" y="-682"/>
                <wp:lineTo x="-924" y="-682"/>
              </wp:wrapPolygon>
            </wp:wrapTight>
            <wp:docPr id="130003689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0036892"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671200" cy="36180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margin">
              <wp14:pctWidth>0</wp14:pctWidth>
            </wp14:sizeRelH>
            <wp14:sizeRelV relativeFrom="margin">
              <wp14:pctHeight>0</wp14:pctHeight>
            </wp14:sizeRelV>
          </wp:anchor>
        </w:drawing>
      </w:r>
      <w:r w:rsidR="00476652"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El </w:t>
      </w:r>
      <w:r w:rsidR="00476652" w:rsidRPr="0057530C">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t>13 de mayo de 2016</w:t>
      </w:r>
      <w:r w:rsidR="00476652"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 se promulgó la actual </w:t>
      </w:r>
      <w:r w:rsidR="00476652" w:rsidRPr="0057530C">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t>Ley de Transparencia y Acceso a la</w:t>
      </w:r>
      <w:r w:rsidR="00080D84" w:rsidRPr="0057530C">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t xml:space="preserve"> </w:t>
      </w:r>
      <w:r w:rsidR="00476652" w:rsidRPr="0057530C">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t>Información Pública para el Estado de Guanajuato</w:t>
      </w:r>
      <w:r w:rsidR="00476652"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 resultado de la armonización en el estado de la </w:t>
      </w:r>
      <w:r w:rsidR="00476652" w:rsidRPr="0057530C">
        <w:rPr>
          <w:rFonts w:ascii="Arial" w:eastAsia="Helvetica Neue" w:hAnsi="Arial" w:cs="Arial"/>
          <w:i/>
          <w:iCs/>
          <w:color w:val="000000"/>
          <w:spacing w:val="5"/>
          <w:kern w:val="0"/>
          <w:sz w:val="24"/>
          <w:szCs w:val="24"/>
          <w:bdr w:val="nil"/>
          <w:lang w:eastAsia="es-MX"/>
          <w14:textOutline w14:w="0" w14:cap="flat" w14:cmpd="sng" w14:algn="ctr">
            <w14:noFill/>
            <w14:prstDash w14:val="solid"/>
            <w14:bevel/>
          </w14:textOutline>
          <w14:ligatures w14:val="none"/>
        </w:rPr>
        <w:t>Ley General de Transparencia y Acceso a la Información Pública</w:t>
      </w:r>
      <w:r w:rsidR="00476652"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 Esta legislación fue el punto de partida para todas las leyes locales sobre acceso a la información, </w:t>
      </w:r>
      <w:r w:rsidR="00080D84"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la cual </w:t>
      </w:r>
      <w:r w:rsidR="00476652"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fue publicada en el Diario Oficial de la Federación el 4 de mayo de 2015. La Ley General sentó las bases para que cada entidad federativa pudiera emitir sus propias leyes de transparencia.</w:t>
      </w:r>
    </w:p>
    <w:p w14:paraId="5CDAFDA3" w14:textId="77777777" w:rsidR="00476652" w:rsidRPr="0057530C" w:rsidRDefault="00476652"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Esta ley introdujo cambios significativos que ampliaron el alcance de la transparencia y acceso a la información, entre los cuales destacan:</w:t>
      </w:r>
    </w:p>
    <w:p w14:paraId="572E02A5" w14:textId="77777777" w:rsidR="00476652" w:rsidRPr="0057530C" w:rsidRDefault="00476652"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Ampliación de sujetos obligados: La ley incluyó a partidos políticos y sindicatos que reciben recursos públicos como sujetos obligados a proporcionar información, fomentando una mayor rendición de cuentas en estos ámbitos.</w:t>
      </w:r>
    </w:p>
    <w:p w14:paraId="7758FF80" w14:textId="77777777" w:rsidR="00476652" w:rsidRPr="0057530C" w:rsidRDefault="00476652"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Mecanismos de coordinación y vinculación: Se estableció el Sistema Nacional de Transparencia, promoviendo la cooperación entre diferentes instancias gubernamentales para fortalecer la transparencia a nivel nacional.</w:t>
      </w:r>
    </w:p>
    <w:p w14:paraId="6825C8D2" w14:textId="113AD1FF" w:rsidR="00476652" w:rsidRPr="0057530C" w:rsidRDefault="00476652"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Clasificación de información reservada: Se restringió la clasificación de información como reservada únicamente para casos que afecten la </w:t>
      </w:r>
      <w:r w:rsidR="004C6474"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seguridad pública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y que cuenten con un propósito genuino y demostrable. Se exigió agregar la prueba de daño </w:t>
      </w:r>
      <w:r w:rsidR="004C6474"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como mecanismo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para reservar cualquier información pública.</w:t>
      </w:r>
    </w:p>
    <w:p w14:paraId="73EE1006" w14:textId="02BFA58D" w:rsidR="00476652" w:rsidRPr="0057530C" w:rsidRDefault="00476652"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Se implementó </w:t>
      </w:r>
      <w:r w:rsidR="004C6474"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la P</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lataforma </w:t>
      </w:r>
      <w:r w:rsidR="004C6474"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Nacional de Transparencia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para facilitar el acceso a la información, estandarizando y homologando la integración, publicación,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lastRenderedPageBreak/>
        <w:t>búsqueda y solicitudes de información, garantizando una experiencia uniforme para todos los sujetos obligados en el estado y el país.</w:t>
      </w:r>
    </w:p>
    <w:p w14:paraId="33DD9B05" w14:textId="11BC3B6C" w:rsidR="00476652" w:rsidRPr="0057530C" w:rsidRDefault="00476652"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Se promovió el principio de Gobierno Abierto, incorporando conceptos como Datos Abiertos, Ajustes Razonables y Formatos Abiertos, así como mecanismos de apertura gubernamental.</w:t>
      </w:r>
    </w:p>
    <w:p w14:paraId="3A56D705" w14:textId="33F1D766" w:rsidR="00BC7313" w:rsidRPr="0057530C" w:rsidRDefault="00BC7313"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Esta ley abrogó a la emitida el </w:t>
      </w:r>
      <w:r w:rsidR="008517E9"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18</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 de </w:t>
      </w:r>
      <w:r w:rsidR="008517E9"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octubre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de 201</w:t>
      </w:r>
      <w:r w:rsidR="008517E9"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3</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 </w:t>
      </w:r>
      <w:r w:rsidR="008517E9"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que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estuvo vigente anteriormente.</w:t>
      </w:r>
    </w:p>
    <w:p w14:paraId="1326EC9F" w14:textId="1E08C049" w:rsidR="006E4512" w:rsidRPr="0057530C" w:rsidRDefault="00476652"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Con la promulgación de esta ley, Guanajuato dio un paso significativo hacia una mayor transparencia y rendición de cuentas, estableciendo un marco legal que fomenta la participación ciudadana, la protección de datos personales y la apertura de la información gubernamental para el beneficio de </w:t>
      </w:r>
      <w:r w:rsidR="0068130F"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las y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los </w:t>
      </w:r>
      <w:r w:rsidR="0068130F"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guanajuatenses</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w:t>
      </w:r>
    </w:p>
    <w:p w14:paraId="50C5645F" w14:textId="77777777" w:rsidR="006E4512" w:rsidRPr="0057530C" w:rsidRDefault="006E4512" w:rsidP="0057530C">
      <w:pPr>
        <w:spacing w:line="276" w:lineRule="auto"/>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br w:type="page"/>
      </w:r>
    </w:p>
    <w:p w14:paraId="3944648B" w14:textId="16F11D58" w:rsidR="006E4512" w:rsidRPr="0057530C" w:rsidRDefault="006E4512" w:rsidP="0057530C">
      <w:pPr>
        <w:pStyle w:val="Cuerpo"/>
        <w:spacing w:line="276" w:lineRule="auto"/>
        <w:jc w:val="center"/>
        <w:rPr>
          <w:rFonts w:ascii="Arial" w:hAnsi="Arial" w:cs="Arial"/>
          <w:b/>
          <w:bCs/>
          <w:color w:val="00B050"/>
          <w:spacing w:val="5"/>
          <w:sz w:val="24"/>
          <w:szCs w:val="24"/>
        </w:rPr>
      </w:pPr>
      <w:r w:rsidRPr="0057530C">
        <w:rPr>
          <w:rFonts w:ascii="Arial" w:hAnsi="Arial" w:cs="Arial"/>
          <w:b/>
          <w:bCs/>
          <w:color w:val="00B050"/>
          <w:spacing w:val="5"/>
          <w:sz w:val="24"/>
          <w:szCs w:val="24"/>
        </w:rPr>
        <w:lastRenderedPageBreak/>
        <w:t>SEGUNDA LEY DE DATOS PERSONALES. (VIGENTE A LA FECHA).</w:t>
      </w:r>
    </w:p>
    <w:p w14:paraId="26016191" w14:textId="77777777" w:rsidR="005F5DE7" w:rsidRPr="0057530C" w:rsidRDefault="005F5DE7" w:rsidP="0057530C">
      <w:pPr>
        <w:spacing w:line="276" w:lineRule="auto"/>
        <w:jc w:val="both"/>
        <w:rPr>
          <w:rFonts w:ascii="Arial" w:hAnsi="Arial" w:cs="Arial"/>
          <w:sz w:val="24"/>
          <w:szCs w:val="24"/>
        </w:rPr>
      </w:pPr>
    </w:p>
    <w:p w14:paraId="5508D193" w14:textId="79C6D703" w:rsidR="000D79EE" w:rsidRPr="0057530C" w:rsidRDefault="008C68BA"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noProof/>
          <w:color w:val="000000"/>
          <w:spacing w:val="5"/>
          <w:kern w:val="0"/>
          <w:sz w:val="24"/>
          <w:szCs w:val="24"/>
          <w:bdr w:val="nil"/>
          <w:lang w:eastAsia="es-MX"/>
          <w14:textOutline w14:w="0" w14:cap="flat" w14:cmpd="sng" w14:algn="ctr">
            <w14:noFill/>
            <w14:prstDash w14:val="solid"/>
            <w14:bevel/>
          </w14:textOutline>
          <w14:ligatures w14:val="none"/>
        </w:rPr>
        <w:drawing>
          <wp:anchor distT="0" distB="0" distL="114300" distR="114300" simplePos="0" relativeHeight="251664384" behindDoc="1" locked="0" layoutInCell="1" allowOverlap="1" wp14:anchorId="03A69400" wp14:editId="7C5D87B3">
            <wp:simplePos x="0" y="0"/>
            <wp:positionH relativeFrom="column">
              <wp:posOffset>0</wp:posOffset>
            </wp:positionH>
            <wp:positionV relativeFrom="paragraph">
              <wp:posOffset>3810</wp:posOffset>
            </wp:positionV>
            <wp:extent cx="2671200" cy="3610800"/>
            <wp:effectExtent l="0" t="0" r="0" b="8890"/>
            <wp:wrapTight wrapText="bothSides">
              <wp:wrapPolygon edited="0">
                <wp:start x="0" y="0"/>
                <wp:lineTo x="0" y="21539"/>
                <wp:lineTo x="21415" y="21539"/>
                <wp:lineTo x="21415" y="0"/>
                <wp:lineTo x="0" y="0"/>
              </wp:wrapPolygon>
            </wp:wrapTight>
            <wp:docPr id="1994492251" name="Imagen 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4492251" name="Imagen 1" descr="Texto&#10;&#10;Descripción generada automáticament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671200" cy="3610800"/>
                    </a:xfrm>
                    <a:prstGeom prst="rect">
                      <a:avLst/>
                    </a:prstGeom>
                  </pic:spPr>
                </pic:pic>
              </a:graphicData>
            </a:graphic>
            <wp14:sizeRelH relativeFrom="page">
              <wp14:pctWidth>0</wp14:pctWidth>
            </wp14:sizeRelH>
            <wp14:sizeRelV relativeFrom="page">
              <wp14:pctHeight>0</wp14:pctHeight>
            </wp14:sizeRelV>
          </wp:anchor>
        </w:drawing>
      </w:r>
      <w:r w:rsidR="000D79EE"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El </w:t>
      </w:r>
      <w:r w:rsidR="000D79EE" w:rsidRPr="0057530C">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t>14 de julio de 2017</w:t>
      </w:r>
      <w:r w:rsidR="000D79EE"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 se promulgó la </w:t>
      </w:r>
      <w:r w:rsidR="000D79EE" w:rsidRPr="0057530C">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t>Ley de Protección de Datos Personales en Posesión de Sujetos Obligados para el Estado de Guanajuato</w:t>
      </w:r>
      <w:r w:rsidR="000D79EE"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 en armonización a la publicación previa de la </w:t>
      </w:r>
      <w:r w:rsidR="000D79EE" w:rsidRPr="0057530C">
        <w:rPr>
          <w:rFonts w:ascii="Arial" w:eastAsia="Helvetica Neue" w:hAnsi="Arial" w:cs="Arial"/>
          <w:i/>
          <w:iCs/>
          <w:color w:val="000000"/>
          <w:spacing w:val="5"/>
          <w:kern w:val="0"/>
          <w:sz w:val="24"/>
          <w:szCs w:val="24"/>
          <w:bdr w:val="nil"/>
          <w:lang w:eastAsia="es-MX"/>
          <w14:textOutline w14:w="0" w14:cap="flat" w14:cmpd="sng" w14:algn="ctr">
            <w14:noFill/>
            <w14:prstDash w14:val="solid"/>
            <w14:bevel/>
          </w14:textOutline>
          <w14:ligatures w14:val="none"/>
        </w:rPr>
        <w:t>Ley General de Protección de Datos Personales en Posesión de Sujetos Obligados</w:t>
      </w:r>
      <w:r w:rsidR="000D79EE"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que estableció los fundamentos generales para que las legislaturas estatales emitieran su legislación en esta materia.</w:t>
      </w:r>
    </w:p>
    <w:p w14:paraId="5D9F814F" w14:textId="7061DC14" w:rsidR="000D79EE" w:rsidRPr="0057530C" w:rsidRDefault="000D79EE"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Esta ley tiene como objetivo establecer las obligaciones de los </w:t>
      </w:r>
      <w:r w:rsidR="00441FB5"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sujetos obligados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para proteger, salvaguardar y manejar de manera responsable la información y datos personales de los usuarios o bases de datos en su poder.</w:t>
      </w:r>
    </w:p>
    <w:p w14:paraId="22E61F75" w14:textId="1579D436" w:rsidR="000D79EE" w:rsidRPr="0057530C" w:rsidRDefault="000D79EE"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Entre sus aspectos más destacados, se encuentran los mecanismos específicos para el tratamiento de datos personales </w:t>
      </w:r>
      <w:r w:rsidR="00441FB5"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incluyendo aquellos considerados como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sensibles.</w:t>
      </w:r>
    </w:p>
    <w:p w14:paraId="63DF3709" w14:textId="2B983684" w:rsidR="000D79EE" w:rsidRPr="0057530C" w:rsidRDefault="000D79EE"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En </w:t>
      </w:r>
      <w:r w:rsidR="00441FB5"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esta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Ley se establecen los principios rectores para el tratamiento de datos personales, como la licitud, finalidad, lealtad, consentimiento, calidad, proporcionalidad, información y responsabilidad.</w:t>
      </w:r>
    </w:p>
    <w:p w14:paraId="4D578F6D" w14:textId="492D05D0" w:rsidR="000D79EE" w:rsidRPr="0057530C" w:rsidRDefault="00441FB5"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Se prevé </w:t>
      </w:r>
      <w:r w:rsidR="000D79EE"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que el tratamiento de datos personales se realice con el consentimiento informado del titular. Además, se impone la obligatoriedad de contar con avisos de privacidad integrales y simplificados, para informar </w:t>
      </w:r>
      <w:r w:rsidR="003C398C"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a este </w:t>
      </w:r>
      <w:r w:rsidR="000D79EE"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sobre su finalidad, es decir, cómo y por qué se utilizarán, así como quién será el responsable de su tratamiento, entre otras cuestiones.</w:t>
      </w:r>
    </w:p>
    <w:p w14:paraId="5799C4A7" w14:textId="1F3406D2" w:rsidR="000D79EE" w:rsidRPr="0057530C" w:rsidRDefault="000D79EE"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Los sujetos obligados también deben contar con un documento de seguridad que contenga medidas de protección de carácter físico, técnico y administrativo, con el fin de resguardar adecuadamente los datos personales</w:t>
      </w:r>
      <w:r w:rsidR="003C398C"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 en su poder.</w:t>
      </w:r>
    </w:p>
    <w:p w14:paraId="2393EE3E" w14:textId="77777777" w:rsidR="000D79EE" w:rsidRPr="0057530C" w:rsidRDefault="000D79EE"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lastRenderedPageBreak/>
        <w:t>Asimismo, la ley reconoce los derechos de acceso, rectificación, cancelación y oposición (ARCO) de los titulares de datos personales, quienes pueden ejercer estos derechos ante los sujetos obligados.</w:t>
      </w:r>
    </w:p>
    <w:p w14:paraId="06FA745C" w14:textId="78268A81" w:rsidR="000D79EE" w:rsidRPr="0057530C" w:rsidRDefault="000D79EE"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En situaciones en las que el responsable pretenda poner en marcha o modificar políticas públicas, sistemas o plataformas informáticas, aplicaciones electrónicas o cualquier otra tecnología que implique el tratamiento intensivo o relevante de datos personales, deberá presentar una evaluación de impacto a la protección de datos personales ante el IACIP.</w:t>
      </w:r>
    </w:p>
    <w:p w14:paraId="514EB235" w14:textId="77777777" w:rsidR="000D79EE" w:rsidRPr="0057530C" w:rsidRDefault="000D79EE"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p>
    <w:p w14:paraId="53176B5A" w14:textId="77777777" w:rsidR="000D79EE" w:rsidRPr="0057530C" w:rsidRDefault="000D79EE"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La ley también contempla un sistema de medios de impugnación y establece un procedimiento de verificación en caso de que se detecte o considere una afectación por actos de los sujetos obligados.</w:t>
      </w:r>
    </w:p>
    <w:p w14:paraId="536A520E" w14:textId="55CD6F44" w:rsidR="0031535D" w:rsidRPr="0057530C" w:rsidRDefault="0031535D"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Esta ley abrogó a la </w:t>
      </w:r>
      <w:r w:rsidR="006D1915"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publicada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el </w:t>
      </w:r>
      <w:r w:rsidR="006D1915"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19</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 de </w:t>
      </w:r>
      <w:r w:rsidR="006D1915"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mayo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de </w:t>
      </w:r>
      <w:r w:rsidR="006D1915"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2006</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 </w:t>
      </w:r>
      <w:r w:rsidR="006D1915"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en </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vigen</w:t>
      </w:r>
      <w:r w:rsidR="006D1915"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cia</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xml:space="preserve"> anteriormente.</w:t>
      </w:r>
    </w:p>
    <w:p w14:paraId="0B850D4A" w14:textId="09D97E2F" w:rsidR="009D70F6" w:rsidRDefault="000D79EE"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Con la promulgación de esta ley, Guanajuato fortalece la protección de datos personales y garantiza el respeto a la privacidad de l</w:t>
      </w:r>
      <w:r w:rsidR="00815949"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as personas</w:t>
      </w:r>
      <w:r w:rsidRPr="0057530C">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t>, asegurando el cumplimiento de principios éticos y legales en el manejo de información sensible.</w:t>
      </w:r>
    </w:p>
    <w:p w14:paraId="258EA68D" w14:textId="77777777" w:rsidR="00DA0E1D" w:rsidRDefault="00DA0E1D"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p>
    <w:p w14:paraId="270455D6" w14:textId="77777777" w:rsidR="00DA0E1D" w:rsidRDefault="00DA0E1D"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p>
    <w:p w14:paraId="600380E9" w14:textId="77777777" w:rsidR="00DA0E1D" w:rsidRDefault="00DA0E1D"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p>
    <w:p w14:paraId="0D327F4E" w14:textId="77777777" w:rsidR="00DA0E1D" w:rsidRDefault="00DA0E1D"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p>
    <w:p w14:paraId="785EE882" w14:textId="77777777" w:rsidR="00DA0E1D" w:rsidRDefault="00DA0E1D"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p>
    <w:p w14:paraId="7165E265" w14:textId="77777777" w:rsidR="00DA0E1D" w:rsidRDefault="00DA0E1D"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p>
    <w:p w14:paraId="0006F20C" w14:textId="77777777" w:rsidR="00DA0E1D" w:rsidRDefault="00DA0E1D"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p>
    <w:p w14:paraId="48F918F8" w14:textId="77777777" w:rsidR="00DA0E1D" w:rsidRDefault="00DA0E1D"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p>
    <w:p w14:paraId="03A38B4B" w14:textId="77777777" w:rsidR="00DA0E1D" w:rsidRDefault="00DA0E1D" w:rsidP="0057530C">
      <w:pPr>
        <w:spacing w:line="276" w:lineRule="auto"/>
        <w:jc w:val="both"/>
        <w:rPr>
          <w:rFonts w:ascii="Arial" w:eastAsia="Helvetica Neue" w:hAnsi="Arial" w:cs="Arial"/>
          <w:color w:val="000000"/>
          <w:spacing w:val="5"/>
          <w:kern w:val="0"/>
          <w:sz w:val="24"/>
          <w:szCs w:val="24"/>
          <w:bdr w:val="nil"/>
          <w:lang w:eastAsia="es-MX"/>
          <w14:textOutline w14:w="0" w14:cap="flat" w14:cmpd="sng" w14:algn="ctr">
            <w14:noFill/>
            <w14:prstDash w14:val="solid"/>
            <w14:bevel/>
          </w14:textOutline>
          <w14:ligatures w14:val="none"/>
        </w:rPr>
      </w:pPr>
    </w:p>
    <w:p w14:paraId="69997BC2" w14:textId="29848686" w:rsidR="00DA0E1D" w:rsidRDefault="00DA0E1D" w:rsidP="00DA0E1D">
      <w:pPr>
        <w:spacing w:line="276" w:lineRule="auto"/>
        <w:jc w:val="right"/>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pPr>
      <w:r w:rsidRPr="00DA0E1D">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t>Rodrigo Sierra Ortiz</w:t>
      </w:r>
    </w:p>
    <w:p w14:paraId="1529FE94" w14:textId="18652C34" w:rsidR="008F5A77" w:rsidRDefault="008F5A77" w:rsidP="00DA0E1D">
      <w:pPr>
        <w:spacing w:line="276" w:lineRule="auto"/>
        <w:jc w:val="right"/>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pPr>
      <w:r>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t>Salamanca, Gto. México</w:t>
      </w:r>
    </w:p>
    <w:p w14:paraId="79B669A6" w14:textId="7F44BF5B" w:rsidR="008F5A77" w:rsidRPr="00DA0E1D" w:rsidRDefault="008F5A77" w:rsidP="00DA0E1D">
      <w:pPr>
        <w:spacing w:line="276" w:lineRule="auto"/>
        <w:jc w:val="right"/>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pPr>
      <w:r>
        <w:rPr>
          <w:rFonts w:ascii="Arial" w:eastAsia="Helvetica Neue" w:hAnsi="Arial" w:cs="Arial"/>
          <w:b/>
          <w:bCs/>
          <w:color w:val="000000"/>
          <w:spacing w:val="5"/>
          <w:kern w:val="0"/>
          <w:sz w:val="24"/>
          <w:szCs w:val="24"/>
          <w:bdr w:val="nil"/>
          <w:lang w:eastAsia="es-MX"/>
          <w14:textOutline w14:w="0" w14:cap="flat" w14:cmpd="sng" w14:algn="ctr">
            <w14:noFill/>
            <w14:prstDash w14:val="solid"/>
            <w14:bevel/>
          </w14:textOutline>
          <w14:ligatures w14:val="none"/>
        </w:rPr>
        <w:t>Enero 2025</w:t>
      </w:r>
    </w:p>
    <w:sectPr w:rsidR="008F5A77" w:rsidRPr="00DA0E1D" w:rsidSect="0057530C">
      <w:headerReference w:type="default" r:id="rId14"/>
      <w:pgSz w:w="12240" w:h="15840"/>
      <w:pgMar w:top="1701" w:right="1701" w:bottom="1701" w:left="1701" w:header="720" w:footer="8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00C53D" w14:textId="77777777" w:rsidR="00D7683D" w:rsidRDefault="00D7683D" w:rsidP="001D59C4">
      <w:pPr>
        <w:spacing w:after="0" w:line="240" w:lineRule="auto"/>
      </w:pPr>
      <w:r>
        <w:separator/>
      </w:r>
    </w:p>
  </w:endnote>
  <w:endnote w:type="continuationSeparator" w:id="0">
    <w:p w14:paraId="49882A2D" w14:textId="77777777" w:rsidR="00D7683D" w:rsidRDefault="00D7683D" w:rsidP="001D59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Sylfaen"/>
    <w:charset w:val="00"/>
    <w:family w:val="roman"/>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A61157" w14:textId="77777777" w:rsidR="00D7683D" w:rsidRDefault="00D7683D" w:rsidP="001D59C4">
      <w:pPr>
        <w:spacing w:after="0" w:line="240" w:lineRule="auto"/>
      </w:pPr>
      <w:r>
        <w:separator/>
      </w:r>
    </w:p>
  </w:footnote>
  <w:footnote w:type="continuationSeparator" w:id="0">
    <w:p w14:paraId="44CEC69B" w14:textId="77777777" w:rsidR="00D7683D" w:rsidRDefault="00D7683D" w:rsidP="001D59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rPr>
      <w:id w:val="673924340"/>
      <w:docPartObj>
        <w:docPartGallery w:val="Page Numbers (Top of Page)"/>
        <w:docPartUnique/>
      </w:docPartObj>
    </w:sdtPr>
    <w:sdtContent>
      <w:p w14:paraId="15FFE2F7" w14:textId="77777777" w:rsidR="001D59C4" w:rsidRPr="0057530C" w:rsidRDefault="001D59C4">
        <w:pPr>
          <w:pStyle w:val="Encabezado"/>
          <w:jc w:val="center"/>
          <w:rPr>
            <w:rFonts w:ascii="Arial" w:hAnsi="Arial" w:cs="Arial"/>
          </w:rPr>
        </w:pPr>
        <w:r w:rsidRPr="0057530C">
          <w:rPr>
            <w:rFonts w:ascii="Arial" w:hAnsi="Arial" w:cs="Arial"/>
            <w:lang w:val="es-ES"/>
          </w:rPr>
          <w:t xml:space="preserve">Página </w:t>
        </w:r>
        <w:r w:rsidRPr="0057530C">
          <w:rPr>
            <w:rFonts w:ascii="Arial" w:hAnsi="Arial" w:cs="Arial"/>
            <w:b/>
            <w:bCs/>
            <w:sz w:val="24"/>
            <w:szCs w:val="24"/>
          </w:rPr>
          <w:fldChar w:fldCharType="begin"/>
        </w:r>
        <w:r w:rsidRPr="0057530C">
          <w:rPr>
            <w:rFonts w:ascii="Arial" w:hAnsi="Arial" w:cs="Arial"/>
            <w:b/>
            <w:bCs/>
          </w:rPr>
          <w:instrText>PAGE</w:instrText>
        </w:r>
        <w:r w:rsidRPr="0057530C">
          <w:rPr>
            <w:rFonts w:ascii="Arial" w:hAnsi="Arial" w:cs="Arial"/>
            <w:b/>
            <w:bCs/>
            <w:sz w:val="24"/>
            <w:szCs w:val="24"/>
          </w:rPr>
          <w:fldChar w:fldCharType="separate"/>
        </w:r>
        <w:r w:rsidRPr="0057530C">
          <w:rPr>
            <w:rFonts w:ascii="Arial" w:hAnsi="Arial" w:cs="Arial"/>
            <w:b/>
            <w:bCs/>
            <w:lang w:val="es-ES"/>
          </w:rPr>
          <w:t>2</w:t>
        </w:r>
        <w:r w:rsidRPr="0057530C">
          <w:rPr>
            <w:rFonts w:ascii="Arial" w:hAnsi="Arial" w:cs="Arial"/>
            <w:b/>
            <w:bCs/>
            <w:sz w:val="24"/>
            <w:szCs w:val="24"/>
          </w:rPr>
          <w:fldChar w:fldCharType="end"/>
        </w:r>
        <w:r w:rsidRPr="0057530C">
          <w:rPr>
            <w:rFonts w:ascii="Arial" w:hAnsi="Arial" w:cs="Arial"/>
            <w:lang w:val="es-ES"/>
          </w:rPr>
          <w:t xml:space="preserve"> de </w:t>
        </w:r>
        <w:r w:rsidRPr="0057530C">
          <w:rPr>
            <w:rFonts w:ascii="Arial" w:hAnsi="Arial" w:cs="Arial"/>
            <w:b/>
            <w:bCs/>
            <w:sz w:val="24"/>
            <w:szCs w:val="24"/>
          </w:rPr>
          <w:fldChar w:fldCharType="begin"/>
        </w:r>
        <w:r w:rsidRPr="0057530C">
          <w:rPr>
            <w:rFonts w:ascii="Arial" w:hAnsi="Arial" w:cs="Arial"/>
            <w:b/>
            <w:bCs/>
          </w:rPr>
          <w:instrText>NUMPAGES</w:instrText>
        </w:r>
        <w:r w:rsidRPr="0057530C">
          <w:rPr>
            <w:rFonts w:ascii="Arial" w:hAnsi="Arial" w:cs="Arial"/>
            <w:b/>
            <w:bCs/>
            <w:sz w:val="24"/>
            <w:szCs w:val="24"/>
          </w:rPr>
          <w:fldChar w:fldCharType="separate"/>
        </w:r>
        <w:r w:rsidRPr="0057530C">
          <w:rPr>
            <w:rFonts w:ascii="Arial" w:hAnsi="Arial" w:cs="Arial"/>
            <w:b/>
            <w:bCs/>
            <w:lang w:val="es-ES"/>
          </w:rPr>
          <w:t>2</w:t>
        </w:r>
        <w:r w:rsidRPr="0057530C">
          <w:rPr>
            <w:rFonts w:ascii="Arial" w:hAnsi="Arial" w:cs="Arial"/>
            <w:b/>
            <w:bCs/>
            <w:sz w:val="24"/>
            <w:szCs w:val="24"/>
          </w:rPr>
          <w:fldChar w:fldCharType="end"/>
        </w:r>
      </w:p>
    </w:sdtContent>
  </w:sdt>
  <w:p w14:paraId="192C23E3" w14:textId="77777777" w:rsidR="001D59C4" w:rsidRDefault="001D59C4">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780"/>
    <w:rsid w:val="00000CA6"/>
    <w:rsid w:val="00065076"/>
    <w:rsid w:val="00074385"/>
    <w:rsid w:val="00080D84"/>
    <w:rsid w:val="0009247A"/>
    <w:rsid w:val="000B35F7"/>
    <w:rsid w:val="000C71BE"/>
    <w:rsid w:val="000D0270"/>
    <w:rsid w:val="000D63CE"/>
    <w:rsid w:val="000D79EE"/>
    <w:rsid w:val="00106B4B"/>
    <w:rsid w:val="001B7B74"/>
    <w:rsid w:val="001D59C4"/>
    <w:rsid w:val="00201813"/>
    <w:rsid w:val="002C06CE"/>
    <w:rsid w:val="002C7196"/>
    <w:rsid w:val="002D65EF"/>
    <w:rsid w:val="0031535D"/>
    <w:rsid w:val="003A0ABD"/>
    <w:rsid w:val="003C398C"/>
    <w:rsid w:val="003D6F8C"/>
    <w:rsid w:val="003E0299"/>
    <w:rsid w:val="00426B8A"/>
    <w:rsid w:val="00441FB5"/>
    <w:rsid w:val="00444CFF"/>
    <w:rsid w:val="0047510D"/>
    <w:rsid w:val="00476652"/>
    <w:rsid w:val="004859AD"/>
    <w:rsid w:val="004C231F"/>
    <w:rsid w:val="004C5613"/>
    <w:rsid w:val="004C6474"/>
    <w:rsid w:val="004E4FA1"/>
    <w:rsid w:val="004F583B"/>
    <w:rsid w:val="005303AA"/>
    <w:rsid w:val="0057530C"/>
    <w:rsid w:val="005B0038"/>
    <w:rsid w:val="005B117D"/>
    <w:rsid w:val="005C5F4D"/>
    <w:rsid w:val="005D2FE5"/>
    <w:rsid w:val="005D6845"/>
    <w:rsid w:val="005E61D5"/>
    <w:rsid w:val="005F5DE7"/>
    <w:rsid w:val="00620675"/>
    <w:rsid w:val="0064235D"/>
    <w:rsid w:val="006718BB"/>
    <w:rsid w:val="006758CF"/>
    <w:rsid w:val="0068130F"/>
    <w:rsid w:val="00686E02"/>
    <w:rsid w:val="00691E90"/>
    <w:rsid w:val="00695AD6"/>
    <w:rsid w:val="00696FF6"/>
    <w:rsid w:val="006A285E"/>
    <w:rsid w:val="006A4B1C"/>
    <w:rsid w:val="006D1915"/>
    <w:rsid w:val="006E4512"/>
    <w:rsid w:val="007240C0"/>
    <w:rsid w:val="00734923"/>
    <w:rsid w:val="0074737A"/>
    <w:rsid w:val="00775726"/>
    <w:rsid w:val="007C18CF"/>
    <w:rsid w:val="007E5BB5"/>
    <w:rsid w:val="00800A6B"/>
    <w:rsid w:val="00815949"/>
    <w:rsid w:val="00832C06"/>
    <w:rsid w:val="00840BDC"/>
    <w:rsid w:val="00850B6D"/>
    <w:rsid w:val="008517E9"/>
    <w:rsid w:val="00856C88"/>
    <w:rsid w:val="00867B2D"/>
    <w:rsid w:val="00887F1E"/>
    <w:rsid w:val="008A353D"/>
    <w:rsid w:val="008C68BA"/>
    <w:rsid w:val="008D1425"/>
    <w:rsid w:val="008D69BD"/>
    <w:rsid w:val="008E4AFF"/>
    <w:rsid w:val="008F5A77"/>
    <w:rsid w:val="0094693B"/>
    <w:rsid w:val="00986C4D"/>
    <w:rsid w:val="009A06E7"/>
    <w:rsid w:val="009D70F6"/>
    <w:rsid w:val="00A61C2D"/>
    <w:rsid w:val="00A738F0"/>
    <w:rsid w:val="00AB791B"/>
    <w:rsid w:val="00AD66F2"/>
    <w:rsid w:val="00B01791"/>
    <w:rsid w:val="00B159F7"/>
    <w:rsid w:val="00B82C7B"/>
    <w:rsid w:val="00BC0AEA"/>
    <w:rsid w:val="00BC7313"/>
    <w:rsid w:val="00BF561B"/>
    <w:rsid w:val="00C51251"/>
    <w:rsid w:val="00C768B3"/>
    <w:rsid w:val="00C8521A"/>
    <w:rsid w:val="00C879AC"/>
    <w:rsid w:val="00CA4A82"/>
    <w:rsid w:val="00CC5780"/>
    <w:rsid w:val="00CF6028"/>
    <w:rsid w:val="00D01AC5"/>
    <w:rsid w:val="00D446BE"/>
    <w:rsid w:val="00D6171A"/>
    <w:rsid w:val="00D63B1B"/>
    <w:rsid w:val="00D7683D"/>
    <w:rsid w:val="00D770F1"/>
    <w:rsid w:val="00D84CEE"/>
    <w:rsid w:val="00DA076C"/>
    <w:rsid w:val="00DA0E1D"/>
    <w:rsid w:val="00DA54E7"/>
    <w:rsid w:val="00DC0CEB"/>
    <w:rsid w:val="00E07227"/>
    <w:rsid w:val="00E222EE"/>
    <w:rsid w:val="00E55425"/>
    <w:rsid w:val="00E90931"/>
    <w:rsid w:val="00EA0ABC"/>
    <w:rsid w:val="00EA4AD0"/>
    <w:rsid w:val="00F435BB"/>
    <w:rsid w:val="00F63C07"/>
    <w:rsid w:val="00F86D98"/>
    <w:rsid w:val="00FA0D5A"/>
    <w:rsid w:val="00FC7587"/>
    <w:rsid w:val="00FD597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078C1D"/>
  <w15:chartTrackingRefBased/>
  <w15:docId w15:val="{B4318762-4B90-4AA2-9222-2D3489C4B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Cuerpo">
    <w:name w:val="Cuerpo"/>
    <w:rsid w:val="00CC5780"/>
    <w:pPr>
      <w:pBdr>
        <w:top w:val="nil"/>
        <w:left w:val="nil"/>
        <w:bottom w:val="nil"/>
        <w:right w:val="nil"/>
        <w:between w:val="nil"/>
        <w:bar w:val="nil"/>
      </w:pBdr>
      <w:spacing w:after="0" w:line="240" w:lineRule="auto"/>
    </w:pPr>
    <w:rPr>
      <w:rFonts w:ascii="Helvetica Neue" w:eastAsia="Helvetica Neue" w:hAnsi="Helvetica Neue" w:cs="Helvetica Neue"/>
      <w:color w:val="000000"/>
      <w:kern w:val="0"/>
      <w:bdr w:val="nil"/>
      <w:lang w:eastAsia="es-MX"/>
      <w14:textOutline w14:w="0" w14:cap="flat" w14:cmpd="sng" w14:algn="ctr">
        <w14:noFill/>
        <w14:prstDash w14:val="solid"/>
        <w14:bevel/>
      </w14:textOutline>
      <w14:ligatures w14:val="none"/>
    </w:rPr>
  </w:style>
  <w:style w:type="paragraph" w:styleId="Encabezado">
    <w:name w:val="header"/>
    <w:basedOn w:val="Normal"/>
    <w:link w:val="EncabezadoCar"/>
    <w:uiPriority w:val="99"/>
    <w:unhideWhenUsed/>
    <w:rsid w:val="001D59C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D59C4"/>
  </w:style>
  <w:style w:type="paragraph" w:styleId="Piedepgina">
    <w:name w:val="footer"/>
    <w:basedOn w:val="Normal"/>
    <w:link w:val="PiedepginaCar"/>
    <w:uiPriority w:val="99"/>
    <w:unhideWhenUsed/>
    <w:rsid w:val="001D59C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D59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8726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D87275-76D2-423C-B44A-DAF6A9B834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424</TotalTime>
  <Pages>1</Pages>
  <Words>2876</Words>
  <Characters>15821</Characters>
  <Application>Microsoft Office Word</Application>
  <DocSecurity>0</DocSecurity>
  <Lines>131</Lines>
  <Paragraphs>37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Rodrigo Sierra</dc:creator>
  <cp:keywords/>
  <dc:description/>
  <cp:lastModifiedBy>Rodrigo Sierra</cp:lastModifiedBy>
  <cp:revision>8</cp:revision>
  <dcterms:created xsi:type="dcterms:W3CDTF">2023-07-10T16:52:00Z</dcterms:created>
  <dcterms:modified xsi:type="dcterms:W3CDTF">2025-01-08T19:40:00Z</dcterms:modified>
</cp:coreProperties>
</file>