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6A4E7C" w14:textId="77777777" w:rsidR="00B36ED2" w:rsidRDefault="00B36ED2" w:rsidP="00B36ED2">
      <w:pPr>
        <w:spacing w:line="360" w:lineRule="auto"/>
        <w:jc w:val="both"/>
        <w:rPr>
          <w:rFonts w:ascii="Arial" w:hAnsi="Arial" w:cs="Arial"/>
          <w:sz w:val="24"/>
          <w:szCs w:val="24"/>
        </w:rPr>
      </w:pPr>
      <w:r>
        <w:rPr>
          <w:rFonts w:ascii="Arial" w:hAnsi="Arial" w:cs="Arial"/>
          <w:sz w:val="24"/>
          <w:szCs w:val="24"/>
        </w:rPr>
        <w:t xml:space="preserve">AUTOR: </w:t>
      </w:r>
      <w:bookmarkStart w:id="0" w:name="_Hlk184288906"/>
      <w:proofErr w:type="spellStart"/>
      <w:r>
        <w:rPr>
          <w:rFonts w:ascii="Arial" w:hAnsi="Arial" w:cs="Arial"/>
          <w:sz w:val="24"/>
          <w:szCs w:val="24"/>
        </w:rPr>
        <w:t>Jose</w:t>
      </w:r>
      <w:proofErr w:type="spellEnd"/>
      <w:r>
        <w:rPr>
          <w:rFonts w:ascii="Arial" w:hAnsi="Arial" w:cs="Arial"/>
          <w:sz w:val="24"/>
          <w:szCs w:val="24"/>
        </w:rPr>
        <w:t xml:space="preserve"> Manuel Orozco Herrera</w:t>
      </w:r>
      <w:bookmarkEnd w:id="0"/>
    </w:p>
    <w:p w14:paraId="1890F742" w14:textId="77777777" w:rsidR="00B36ED2" w:rsidRDefault="00B36ED2" w:rsidP="000776AF">
      <w:pPr>
        <w:spacing w:line="360" w:lineRule="auto"/>
        <w:jc w:val="both"/>
        <w:rPr>
          <w:rFonts w:ascii="Arial" w:hAnsi="Arial" w:cs="Arial"/>
          <w:sz w:val="24"/>
          <w:szCs w:val="24"/>
        </w:rPr>
      </w:pPr>
    </w:p>
    <w:p w14:paraId="70F81E1B" w14:textId="162B5CBA" w:rsidR="000776AF" w:rsidRPr="000776AF" w:rsidRDefault="001519C5" w:rsidP="000776AF">
      <w:pPr>
        <w:spacing w:line="360" w:lineRule="auto"/>
        <w:jc w:val="both"/>
        <w:rPr>
          <w:rFonts w:ascii="Arial" w:hAnsi="Arial" w:cs="Arial"/>
          <w:sz w:val="24"/>
          <w:szCs w:val="24"/>
        </w:rPr>
      </w:pPr>
      <w:r>
        <w:rPr>
          <w:noProof/>
        </w:rPr>
        <w:drawing>
          <wp:anchor distT="0" distB="0" distL="114300" distR="114300" simplePos="0" relativeHeight="251658240" behindDoc="0" locked="0" layoutInCell="1" allowOverlap="1" wp14:anchorId="0380C086" wp14:editId="71DBEFFF">
            <wp:simplePos x="0" y="0"/>
            <wp:positionH relativeFrom="column">
              <wp:posOffset>1555183</wp:posOffset>
            </wp:positionH>
            <wp:positionV relativeFrom="paragraph">
              <wp:posOffset>66067</wp:posOffset>
            </wp:positionV>
            <wp:extent cx="4053205" cy="2702560"/>
            <wp:effectExtent l="0" t="0" r="4445" b="2540"/>
            <wp:wrapSquare wrapText="bothSides"/>
            <wp:docPr id="258634028" name="Imagen 1" descr="Conmemora el IACIP 20 años de trabajar por el respeto al derecho de acceso  a la información - CaracolEnMovimien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memora el IACIP 20 años de trabajar por el respeto al derecho de acceso  a la información - CaracolEnMovimiento"/>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053205" cy="2702560"/>
                    </a:xfrm>
                    <a:prstGeom prst="rect">
                      <a:avLst/>
                    </a:prstGeom>
                    <a:noFill/>
                    <a:ln>
                      <a:noFill/>
                    </a:ln>
                  </pic:spPr>
                </pic:pic>
              </a:graphicData>
            </a:graphic>
          </wp:anchor>
        </w:drawing>
      </w:r>
      <w:r w:rsidR="000776AF" w:rsidRPr="000776AF">
        <w:rPr>
          <w:rFonts w:ascii="Arial" w:hAnsi="Arial" w:cs="Arial"/>
          <w:sz w:val="24"/>
          <w:szCs w:val="24"/>
        </w:rPr>
        <w:t>El Instituto de Acceso a la Información Pública de Guanajuato es el Garante de los Derechos Fundamentales de Acceso a la Información Pública y de Protección de Datos Personales en el Estado de Guanajuato; también es un organismo autónomo, con personalidad jurídica y patrimonio propio, en los términos de la Constitución Política para el Estado de Guanajuato.</w:t>
      </w:r>
    </w:p>
    <w:p w14:paraId="57C5FAD1" w14:textId="5333D75B" w:rsidR="00A15DC4" w:rsidRDefault="000776AF" w:rsidP="000776AF">
      <w:pPr>
        <w:spacing w:line="360" w:lineRule="auto"/>
        <w:jc w:val="both"/>
        <w:rPr>
          <w:rFonts w:ascii="Arial" w:hAnsi="Arial" w:cs="Arial"/>
          <w:sz w:val="24"/>
          <w:szCs w:val="24"/>
        </w:rPr>
      </w:pPr>
      <w:r w:rsidRPr="000776AF">
        <w:rPr>
          <w:rFonts w:ascii="Arial" w:hAnsi="Arial" w:cs="Arial"/>
          <w:sz w:val="24"/>
          <w:szCs w:val="24"/>
        </w:rPr>
        <w:t xml:space="preserve">El IACIP fue creado en el año de 2003, tras la aprobación de la Ley de Acceso a la Información Pública para el Estado y los Municipios de Guanajuato. Entrando en funciones el día 7 de </w:t>
      </w:r>
      <w:proofErr w:type="gramStart"/>
      <w:r w:rsidRPr="000776AF">
        <w:rPr>
          <w:rFonts w:ascii="Arial" w:hAnsi="Arial" w:cs="Arial"/>
          <w:sz w:val="24"/>
          <w:szCs w:val="24"/>
        </w:rPr>
        <w:t>Enero</w:t>
      </w:r>
      <w:proofErr w:type="gramEnd"/>
      <w:r w:rsidRPr="000776AF">
        <w:rPr>
          <w:rFonts w:ascii="Arial" w:hAnsi="Arial" w:cs="Arial"/>
          <w:sz w:val="24"/>
          <w:szCs w:val="24"/>
        </w:rPr>
        <w:t xml:space="preserve"> de 2004 con el objetivo de vigilar el cumplimiento de esta Ley y garantizar a la sociedad guanajuatense su derecho a saber</w:t>
      </w:r>
      <w:r>
        <w:rPr>
          <w:rFonts w:ascii="Arial" w:hAnsi="Arial" w:cs="Arial"/>
          <w:sz w:val="24"/>
          <w:szCs w:val="24"/>
        </w:rPr>
        <w:t>.</w:t>
      </w:r>
    </w:p>
    <w:p w14:paraId="019EA6AC" w14:textId="213CE6B7" w:rsidR="003A3CB0" w:rsidRDefault="003A3CB0" w:rsidP="000776AF">
      <w:pPr>
        <w:spacing w:line="360" w:lineRule="auto"/>
        <w:jc w:val="both"/>
        <w:rPr>
          <w:rFonts w:ascii="Arial" w:hAnsi="Arial" w:cs="Arial"/>
          <w:sz w:val="24"/>
          <w:szCs w:val="24"/>
        </w:rPr>
      </w:pPr>
      <w:r w:rsidRPr="003A3CB0">
        <w:rPr>
          <w:rFonts w:ascii="Arial" w:hAnsi="Arial" w:cs="Arial"/>
          <w:sz w:val="24"/>
          <w:szCs w:val="24"/>
        </w:rPr>
        <w:t>Los datos personales se refieren</w:t>
      </w:r>
      <w:r>
        <w:rPr>
          <w:rFonts w:ascii="Arial" w:hAnsi="Arial" w:cs="Arial"/>
          <w:sz w:val="24"/>
          <w:szCs w:val="24"/>
        </w:rPr>
        <w:t xml:space="preserve"> a</w:t>
      </w:r>
      <w:r w:rsidRPr="003A3CB0">
        <w:rPr>
          <w:rFonts w:ascii="Arial" w:hAnsi="Arial" w:cs="Arial"/>
          <w:sz w:val="24"/>
          <w:szCs w:val="24"/>
        </w:rPr>
        <w:t xml:space="preserve"> toda aquella información relati</w:t>
      </w:r>
      <w:r>
        <w:rPr>
          <w:rFonts w:ascii="Arial" w:hAnsi="Arial" w:cs="Arial"/>
          <w:sz w:val="24"/>
          <w:szCs w:val="24"/>
        </w:rPr>
        <w:t xml:space="preserve">va </w:t>
      </w:r>
      <w:r w:rsidRPr="003A3CB0">
        <w:rPr>
          <w:rFonts w:ascii="Arial" w:hAnsi="Arial" w:cs="Arial"/>
          <w:sz w:val="24"/>
          <w:szCs w:val="24"/>
        </w:rPr>
        <w:t xml:space="preserve">al </w:t>
      </w:r>
      <w:r>
        <w:rPr>
          <w:rFonts w:ascii="Arial" w:hAnsi="Arial" w:cs="Arial"/>
          <w:sz w:val="24"/>
          <w:szCs w:val="24"/>
        </w:rPr>
        <w:t xml:space="preserve">           </w:t>
      </w:r>
      <w:r w:rsidRPr="003A3CB0">
        <w:rPr>
          <w:rFonts w:ascii="Arial" w:hAnsi="Arial" w:cs="Arial"/>
          <w:sz w:val="24"/>
          <w:szCs w:val="24"/>
        </w:rPr>
        <w:t>individuo que lo identifica o lo hace identificable.</w:t>
      </w:r>
      <w:r w:rsidRPr="003A3CB0">
        <w:rPr>
          <w:rFonts w:ascii="Arial" w:hAnsi="Arial" w:cs="Arial"/>
          <w:sz w:val="24"/>
          <w:szCs w:val="24"/>
        </w:rPr>
        <w:br/>
        <w:t>Entre otras cosas, le dan identidad, lo describen, precisan su origen, edad, lugar de residencia, trayectoria académica, laboral o profesional.</w:t>
      </w:r>
      <w:r w:rsidRPr="003A3CB0">
        <w:rPr>
          <w:rFonts w:ascii="Arial" w:hAnsi="Arial" w:cs="Arial"/>
          <w:sz w:val="24"/>
          <w:szCs w:val="24"/>
        </w:rPr>
        <w:br/>
        <w:t>Además de ello, los datos personales también describen aspectos más sensibles o delicados sobre tal individuo, como es el caso de su forma de pensar, estado de salud, sus características físicas, ideología o vida sexual, entre otros.</w:t>
      </w:r>
    </w:p>
    <w:p w14:paraId="7C0E8469" w14:textId="65CA5425" w:rsidR="008B27AB" w:rsidRDefault="008B27AB" w:rsidP="000776AF">
      <w:pPr>
        <w:spacing w:line="360" w:lineRule="auto"/>
        <w:jc w:val="both"/>
        <w:rPr>
          <w:rFonts w:ascii="Arial" w:hAnsi="Arial" w:cs="Arial"/>
          <w:sz w:val="24"/>
          <w:szCs w:val="24"/>
        </w:rPr>
      </w:pPr>
      <w:r w:rsidRPr="008B27AB">
        <w:rPr>
          <w:rFonts w:ascii="Arial" w:hAnsi="Arial" w:cs="Arial"/>
          <w:sz w:val="24"/>
          <w:szCs w:val="24"/>
        </w:rPr>
        <w:lastRenderedPageBreak/>
        <w:t>Los datos personales son necesarios para que un individuo pueda interactuar con otros o con una o más organizaciones sin que sea confundido con el resto de la colectividad y para que pueda cumplir con lo que disponen las leyes. Asimismo, hacen posible la oferta y obtención de bienes y servicios.</w:t>
      </w:r>
      <w:r w:rsidRPr="008B27AB">
        <w:rPr>
          <w:rFonts w:ascii="Arial" w:hAnsi="Arial" w:cs="Arial"/>
          <w:sz w:val="24"/>
          <w:szCs w:val="24"/>
        </w:rPr>
        <w:br/>
        <w:t xml:space="preserve">Sin embargo, el uso extensivo de las tecnologías de la información y las telecomunicaciones ha permitido </w:t>
      </w:r>
      <w:proofErr w:type="gramStart"/>
      <w:r w:rsidRPr="008B27AB">
        <w:rPr>
          <w:rFonts w:ascii="Arial" w:hAnsi="Arial" w:cs="Arial"/>
          <w:sz w:val="24"/>
          <w:szCs w:val="24"/>
        </w:rPr>
        <w:t>que</w:t>
      </w:r>
      <w:proofErr w:type="gramEnd"/>
      <w:r w:rsidRPr="008B27AB">
        <w:rPr>
          <w:rFonts w:ascii="Arial" w:hAnsi="Arial" w:cs="Arial"/>
          <w:sz w:val="24"/>
          <w:szCs w:val="24"/>
        </w:rPr>
        <w:t xml:space="preserve"> en muchas ocasiones, los datos personales sean tratados para fines distintos para los que originalmente fueron recabados, rebasando los límites de la esfera de privacidad de la persona, y lesionando en ocasiones otros derechos y libertades.</w:t>
      </w:r>
    </w:p>
    <w:p w14:paraId="1522CD26" w14:textId="4E507F80" w:rsidR="008B27AB" w:rsidRDefault="008B27AB" w:rsidP="000776AF">
      <w:pPr>
        <w:spacing w:line="360" w:lineRule="auto"/>
        <w:jc w:val="both"/>
        <w:rPr>
          <w:rFonts w:ascii="Arial" w:hAnsi="Arial" w:cs="Arial"/>
          <w:sz w:val="24"/>
          <w:szCs w:val="24"/>
        </w:rPr>
      </w:pPr>
      <w:r w:rsidRPr="008B27AB">
        <w:rPr>
          <w:rFonts w:ascii="Arial" w:hAnsi="Arial" w:cs="Arial"/>
          <w:sz w:val="24"/>
          <w:szCs w:val="24"/>
        </w:rPr>
        <w:t xml:space="preserve">Todos debemos proteger los datos personales, es un esfuerzo conjunto: Por una </w:t>
      </w:r>
      <w:proofErr w:type="gramStart"/>
      <w:r w:rsidRPr="008B27AB">
        <w:rPr>
          <w:rFonts w:ascii="Arial" w:hAnsi="Arial" w:cs="Arial"/>
          <w:sz w:val="24"/>
          <w:szCs w:val="24"/>
        </w:rPr>
        <w:t>parte</w:t>
      </w:r>
      <w:proofErr w:type="gramEnd"/>
      <w:r w:rsidRPr="008B27AB">
        <w:rPr>
          <w:rFonts w:ascii="Arial" w:hAnsi="Arial" w:cs="Arial"/>
          <w:sz w:val="24"/>
          <w:szCs w:val="24"/>
        </w:rPr>
        <w:t xml:space="preserve"> Tú exigiendo tus derechos quienes posean datos personales, y por otro lado el IACIP quien es el Instituto garante de Acceso a la Información y Protección de Datos Personales, que obren en los archivos del Sujeto obligado, observando lo establecido por la Ley de Protección de Datos Personales para el Estado y los Municipios de Guanajuato.</w:t>
      </w:r>
    </w:p>
    <w:p w14:paraId="3C106205" w14:textId="01383B3A" w:rsidR="008B27AB" w:rsidRDefault="001519C5" w:rsidP="000776AF">
      <w:pPr>
        <w:spacing w:line="360" w:lineRule="auto"/>
        <w:jc w:val="both"/>
        <w:rPr>
          <w:rFonts w:ascii="Arial" w:hAnsi="Arial" w:cs="Arial"/>
          <w:sz w:val="24"/>
          <w:szCs w:val="24"/>
        </w:rPr>
      </w:pPr>
      <w:r>
        <w:rPr>
          <w:noProof/>
        </w:rPr>
        <w:drawing>
          <wp:anchor distT="0" distB="0" distL="114300" distR="114300" simplePos="0" relativeHeight="251660288" behindDoc="0" locked="0" layoutInCell="1" allowOverlap="1" wp14:anchorId="4A4054C3" wp14:editId="102B8D64">
            <wp:simplePos x="0" y="0"/>
            <wp:positionH relativeFrom="column">
              <wp:posOffset>126365</wp:posOffset>
            </wp:positionH>
            <wp:positionV relativeFrom="paragraph">
              <wp:posOffset>112395</wp:posOffset>
            </wp:positionV>
            <wp:extent cx="3804285" cy="2540000"/>
            <wp:effectExtent l="0" t="0" r="5715" b="0"/>
            <wp:wrapSquare wrapText="bothSides"/>
            <wp:docPr id="1398409802" name="Imagen 3" descr="IACIP ENTREGA LEY DE ACCESO A LA INFORMACIÓN EN SISTEMA DE ESCRITURA  BRAILLE – IAC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ACIP ENTREGA LEY DE ACCESO A LA INFORMACIÓN EN SISTEMA DE ESCRITURA  BRAILLE – IACIP"/>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804285" cy="2540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B27AB">
        <w:rPr>
          <w:rFonts w:ascii="Arial" w:hAnsi="Arial" w:cs="Arial"/>
          <w:sz w:val="24"/>
          <w:szCs w:val="24"/>
        </w:rPr>
        <w:t xml:space="preserve">El IACIP se encarga de </w:t>
      </w:r>
      <w:r w:rsidR="00711775">
        <w:rPr>
          <w:rFonts w:ascii="Arial" w:hAnsi="Arial" w:cs="Arial"/>
          <w:sz w:val="24"/>
          <w:szCs w:val="24"/>
        </w:rPr>
        <w:t>proteger nuestros datos personales a nivel estatal, es decir en todas las ciudades que pertenecen al estado de Guanajuato. Este instituto lleva poco más de dos décadas encargándose de garantizar que nuestros datos personales sean manejados de la mejor manera y solo para fines específicos, sin la necesidad de llegar a manos externas que puedan hacer un mal uso de éstos.</w:t>
      </w:r>
    </w:p>
    <w:p w14:paraId="2B840396" w14:textId="77777777" w:rsidR="001519C5" w:rsidRDefault="001519C5" w:rsidP="000776AF">
      <w:pPr>
        <w:spacing w:line="360" w:lineRule="auto"/>
        <w:jc w:val="both"/>
        <w:rPr>
          <w:rFonts w:ascii="Arial" w:hAnsi="Arial" w:cs="Arial"/>
          <w:sz w:val="24"/>
          <w:szCs w:val="24"/>
        </w:rPr>
      </w:pPr>
    </w:p>
    <w:p w14:paraId="118121DC" w14:textId="77777777" w:rsidR="001519C5" w:rsidRDefault="001519C5" w:rsidP="000776AF">
      <w:pPr>
        <w:spacing w:line="360" w:lineRule="auto"/>
        <w:jc w:val="both"/>
        <w:rPr>
          <w:rFonts w:ascii="Arial" w:hAnsi="Arial" w:cs="Arial"/>
          <w:sz w:val="24"/>
          <w:szCs w:val="24"/>
        </w:rPr>
      </w:pPr>
    </w:p>
    <w:p w14:paraId="124A3311" w14:textId="028A5F92" w:rsidR="00711775" w:rsidRDefault="00711775" w:rsidP="000776AF">
      <w:pPr>
        <w:spacing w:line="360" w:lineRule="auto"/>
        <w:jc w:val="both"/>
        <w:rPr>
          <w:rFonts w:ascii="Arial" w:hAnsi="Arial" w:cs="Arial"/>
          <w:sz w:val="24"/>
          <w:szCs w:val="24"/>
        </w:rPr>
      </w:pPr>
      <w:r>
        <w:rPr>
          <w:rFonts w:ascii="Arial" w:hAnsi="Arial" w:cs="Arial"/>
          <w:sz w:val="24"/>
          <w:szCs w:val="24"/>
        </w:rPr>
        <w:t>En el marco de</w:t>
      </w:r>
      <w:r w:rsidR="002F4F4C">
        <w:rPr>
          <w:rFonts w:ascii="Arial" w:hAnsi="Arial" w:cs="Arial"/>
          <w:sz w:val="24"/>
          <w:szCs w:val="24"/>
        </w:rPr>
        <w:t xml:space="preserve"> la celebración del</w:t>
      </w:r>
      <w:r>
        <w:rPr>
          <w:rFonts w:ascii="Arial" w:hAnsi="Arial" w:cs="Arial"/>
          <w:sz w:val="24"/>
          <w:szCs w:val="24"/>
        </w:rPr>
        <w:t xml:space="preserve"> </w:t>
      </w:r>
      <w:r w:rsidR="002F4F4C">
        <w:rPr>
          <w:rFonts w:ascii="Arial" w:hAnsi="Arial" w:cs="Arial"/>
          <w:sz w:val="24"/>
          <w:szCs w:val="24"/>
        </w:rPr>
        <w:t>vigésimo primer</w:t>
      </w:r>
      <w:r>
        <w:rPr>
          <w:rFonts w:ascii="Arial" w:hAnsi="Arial" w:cs="Arial"/>
          <w:sz w:val="24"/>
          <w:szCs w:val="24"/>
        </w:rPr>
        <w:t xml:space="preserve"> aniversario del </w:t>
      </w:r>
      <w:r w:rsidR="002F4F4C">
        <w:rPr>
          <w:rFonts w:ascii="Arial" w:hAnsi="Arial" w:cs="Arial"/>
          <w:sz w:val="24"/>
          <w:szCs w:val="24"/>
        </w:rPr>
        <w:t>Instituto de Acceso a la Información Pública de Guanajuato</w:t>
      </w:r>
      <w:r>
        <w:rPr>
          <w:rFonts w:ascii="Arial" w:hAnsi="Arial" w:cs="Arial"/>
          <w:sz w:val="24"/>
          <w:szCs w:val="24"/>
        </w:rPr>
        <w:t xml:space="preserve">, </w:t>
      </w:r>
      <w:r w:rsidR="002F4F4C">
        <w:rPr>
          <w:rFonts w:ascii="Arial" w:hAnsi="Arial" w:cs="Arial"/>
          <w:sz w:val="24"/>
          <w:szCs w:val="24"/>
        </w:rPr>
        <w:t>podemos hacer un recuento de momentos destacados desde su creación hasta nuestros días; como cuando del 2004 al 2005, se comenzaron a ver los frutos de este instituto en nuestro estado, pues s</w:t>
      </w:r>
      <w:r w:rsidR="002F4F4C" w:rsidRPr="002F4F4C">
        <w:rPr>
          <w:rFonts w:ascii="Arial" w:hAnsi="Arial" w:cs="Arial"/>
          <w:sz w:val="24"/>
          <w:szCs w:val="24"/>
        </w:rPr>
        <w:t>e lograron avances significativos en la publicación de información gubernamental en línea y se establecieron mecanismos para que los ciudadanos pudieran acceder a la información pública de manera efectiva.</w:t>
      </w:r>
      <w:r w:rsidR="001519C5" w:rsidRPr="001519C5">
        <w:rPr>
          <w:noProof/>
        </w:rPr>
        <w:t xml:space="preserve"> </w:t>
      </w:r>
    </w:p>
    <w:p w14:paraId="24F93FAF" w14:textId="3EA2052A" w:rsidR="002F4F4C" w:rsidRDefault="002F4F4C" w:rsidP="000776AF">
      <w:pPr>
        <w:spacing w:line="360" w:lineRule="auto"/>
        <w:jc w:val="both"/>
        <w:rPr>
          <w:rFonts w:ascii="Arial" w:hAnsi="Arial" w:cs="Arial"/>
          <w:sz w:val="24"/>
          <w:szCs w:val="24"/>
        </w:rPr>
      </w:pPr>
      <w:r>
        <w:rPr>
          <w:rFonts w:ascii="Arial" w:hAnsi="Arial" w:cs="Arial"/>
          <w:sz w:val="24"/>
          <w:szCs w:val="24"/>
        </w:rPr>
        <w:t>De igual manera en 2008, c</w:t>
      </w:r>
      <w:r w:rsidRPr="002F4F4C">
        <w:rPr>
          <w:rFonts w:ascii="Arial" w:hAnsi="Arial" w:cs="Arial"/>
          <w:sz w:val="24"/>
          <w:szCs w:val="24"/>
        </w:rPr>
        <w:t>on el objetivo de fortalecer la transparencia y el acceso a la información, se realizaron reformas a la Ley de Acceso a la Información Pública para el Estado de Guanajuato. Estas reformas ampliaron el alcance de la ley y establecieron sanciones más estrictas para aquellos funcionarios que no cumplieran con sus obligaciones en materia de transparencia.</w:t>
      </w:r>
      <w:r w:rsidR="001519C5">
        <w:rPr>
          <w:rFonts w:ascii="Arial" w:hAnsi="Arial" w:cs="Arial"/>
          <w:sz w:val="24"/>
          <w:szCs w:val="24"/>
        </w:rPr>
        <w:t xml:space="preserve"> </w:t>
      </w:r>
    </w:p>
    <w:p w14:paraId="75E9D82A" w14:textId="043480A0" w:rsidR="001519C5" w:rsidRDefault="001519C5" w:rsidP="000776AF">
      <w:pPr>
        <w:spacing w:line="360" w:lineRule="auto"/>
        <w:jc w:val="both"/>
        <w:rPr>
          <w:rFonts w:ascii="Arial" w:hAnsi="Arial" w:cs="Arial"/>
          <w:sz w:val="24"/>
          <w:szCs w:val="24"/>
        </w:rPr>
      </w:pPr>
      <w:r>
        <w:rPr>
          <w:noProof/>
        </w:rPr>
        <w:drawing>
          <wp:anchor distT="0" distB="0" distL="114300" distR="114300" simplePos="0" relativeHeight="251659264" behindDoc="1" locked="0" layoutInCell="1" allowOverlap="1" wp14:anchorId="3E78776D" wp14:editId="3A5A1593">
            <wp:simplePos x="0" y="0"/>
            <wp:positionH relativeFrom="column">
              <wp:posOffset>1689735</wp:posOffset>
            </wp:positionH>
            <wp:positionV relativeFrom="paragraph">
              <wp:posOffset>330200</wp:posOffset>
            </wp:positionV>
            <wp:extent cx="3855085" cy="2564130"/>
            <wp:effectExtent l="0" t="0" r="0" b="7620"/>
            <wp:wrapTight wrapText="bothSides">
              <wp:wrapPolygon edited="0">
                <wp:start x="0" y="0"/>
                <wp:lineTo x="0" y="21504"/>
                <wp:lineTo x="21454" y="21504"/>
                <wp:lineTo x="21454" y="0"/>
                <wp:lineTo x="0" y="0"/>
              </wp:wrapPolygon>
            </wp:wrapTight>
            <wp:docPr id="1256969751" name="Imagen 2" descr="Reúne IACIP a personas expertas en Protección de Datos Personales e  Inteligencia Artificial – IAC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úne IACIP a personas expertas en Protección de Datos Personales e  Inteligencia Artificial – IACI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55085" cy="2564130"/>
                    </a:xfrm>
                    <a:prstGeom prst="rect">
                      <a:avLst/>
                    </a:prstGeom>
                    <a:noFill/>
                    <a:ln>
                      <a:noFill/>
                    </a:ln>
                  </pic:spPr>
                </pic:pic>
              </a:graphicData>
            </a:graphic>
          </wp:anchor>
        </w:drawing>
      </w:r>
    </w:p>
    <w:p w14:paraId="020D37A0" w14:textId="7CB34394" w:rsidR="002F4F4C" w:rsidRDefault="002F4F4C" w:rsidP="000776AF">
      <w:pPr>
        <w:spacing w:line="360" w:lineRule="auto"/>
        <w:jc w:val="both"/>
        <w:rPr>
          <w:rFonts w:ascii="Arial" w:hAnsi="Arial" w:cs="Arial"/>
          <w:sz w:val="24"/>
          <w:szCs w:val="24"/>
        </w:rPr>
      </w:pPr>
      <w:r>
        <w:rPr>
          <w:rFonts w:ascii="Arial" w:hAnsi="Arial" w:cs="Arial"/>
          <w:sz w:val="24"/>
          <w:szCs w:val="24"/>
        </w:rPr>
        <w:t xml:space="preserve">En el año 2010 se lanzó </w:t>
      </w:r>
      <w:r w:rsidRPr="002F4F4C">
        <w:rPr>
          <w:rFonts w:ascii="Arial" w:hAnsi="Arial" w:cs="Arial"/>
          <w:sz w:val="24"/>
          <w:szCs w:val="24"/>
        </w:rPr>
        <w:t xml:space="preserve">el Portal de Transparencia, una herramienta en línea que </w:t>
      </w:r>
      <w:r>
        <w:rPr>
          <w:rFonts w:ascii="Arial" w:hAnsi="Arial" w:cs="Arial"/>
          <w:sz w:val="24"/>
          <w:szCs w:val="24"/>
        </w:rPr>
        <w:t xml:space="preserve">ha </w:t>
      </w:r>
      <w:r w:rsidRPr="002F4F4C">
        <w:rPr>
          <w:rFonts w:ascii="Arial" w:hAnsi="Arial" w:cs="Arial"/>
          <w:sz w:val="24"/>
          <w:szCs w:val="24"/>
        </w:rPr>
        <w:t>permit</w:t>
      </w:r>
      <w:r>
        <w:rPr>
          <w:rFonts w:ascii="Arial" w:hAnsi="Arial" w:cs="Arial"/>
          <w:sz w:val="24"/>
          <w:szCs w:val="24"/>
        </w:rPr>
        <w:t>ido</w:t>
      </w:r>
      <w:r w:rsidRPr="002F4F4C">
        <w:rPr>
          <w:rFonts w:ascii="Arial" w:hAnsi="Arial" w:cs="Arial"/>
          <w:sz w:val="24"/>
          <w:szCs w:val="24"/>
        </w:rPr>
        <w:t xml:space="preserve"> a los ciudadanos acceder a información gubernamental de manera fácil y rápida. </w:t>
      </w:r>
      <w:r>
        <w:rPr>
          <w:rFonts w:ascii="Arial" w:hAnsi="Arial" w:cs="Arial"/>
          <w:sz w:val="24"/>
          <w:szCs w:val="24"/>
        </w:rPr>
        <w:t>Desde su creación, e</w:t>
      </w:r>
      <w:r w:rsidRPr="002F4F4C">
        <w:rPr>
          <w:rFonts w:ascii="Arial" w:hAnsi="Arial" w:cs="Arial"/>
          <w:sz w:val="24"/>
          <w:szCs w:val="24"/>
        </w:rPr>
        <w:t xml:space="preserve">l portal ha </w:t>
      </w:r>
      <w:r>
        <w:rPr>
          <w:rFonts w:ascii="Arial" w:hAnsi="Arial" w:cs="Arial"/>
          <w:sz w:val="24"/>
          <w:szCs w:val="24"/>
        </w:rPr>
        <w:t>recibido actualizaciones oportunas</w:t>
      </w:r>
      <w:r w:rsidRPr="002F4F4C">
        <w:rPr>
          <w:rFonts w:ascii="Arial" w:hAnsi="Arial" w:cs="Arial"/>
          <w:sz w:val="24"/>
          <w:szCs w:val="24"/>
        </w:rPr>
        <w:t xml:space="preserve"> y mejorado constantemente para garantizar que la información sea precisa, oportuna y accesible</w:t>
      </w:r>
      <w:r>
        <w:rPr>
          <w:rFonts w:ascii="Arial" w:hAnsi="Arial" w:cs="Arial"/>
          <w:sz w:val="24"/>
          <w:szCs w:val="24"/>
        </w:rPr>
        <w:t xml:space="preserve"> para todo el que desee tener acceso a la información.</w:t>
      </w:r>
    </w:p>
    <w:p w14:paraId="1E268002" w14:textId="77777777" w:rsidR="001519C5" w:rsidRDefault="001519C5" w:rsidP="000776AF">
      <w:pPr>
        <w:spacing w:line="360" w:lineRule="auto"/>
        <w:jc w:val="both"/>
        <w:rPr>
          <w:rFonts w:ascii="Arial" w:hAnsi="Arial" w:cs="Arial"/>
          <w:sz w:val="24"/>
          <w:szCs w:val="24"/>
        </w:rPr>
      </w:pPr>
    </w:p>
    <w:p w14:paraId="7E7A4D3B" w14:textId="51854102" w:rsidR="002F4F4C" w:rsidRDefault="004A00D8" w:rsidP="000776AF">
      <w:pPr>
        <w:spacing w:line="360" w:lineRule="auto"/>
        <w:jc w:val="both"/>
        <w:rPr>
          <w:rFonts w:ascii="Arial" w:hAnsi="Arial" w:cs="Arial"/>
          <w:sz w:val="24"/>
          <w:szCs w:val="24"/>
        </w:rPr>
      </w:pPr>
      <w:r w:rsidRPr="009975E9">
        <w:rPr>
          <w:rFonts w:ascii="Arial" w:hAnsi="Arial" w:cs="Arial"/>
          <w:noProof/>
          <w:sz w:val="24"/>
          <w:szCs w:val="24"/>
        </w:rPr>
        <w:drawing>
          <wp:anchor distT="0" distB="0" distL="114300" distR="114300" simplePos="0" relativeHeight="251661312" behindDoc="0" locked="0" layoutInCell="1" allowOverlap="1" wp14:anchorId="382DE80A" wp14:editId="393701FA">
            <wp:simplePos x="0" y="0"/>
            <wp:positionH relativeFrom="column">
              <wp:posOffset>-17736</wp:posOffset>
            </wp:positionH>
            <wp:positionV relativeFrom="paragraph">
              <wp:posOffset>0</wp:posOffset>
            </wp:positionV>
            <wp:extent cx="3040380" cy="3046730"/>
            <wp:effectExtent l="0" t="0" r="7620" b="1270"/>
            <wp:wrapSquare wrapText="bothSides"/>
            <wp:docPr id="519221997" name="Imagen 1"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221997" name="Imagen 1" descr="Logotipo&#10;&#10;Descripción generada automáticamente con confianza media"/>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40380" cy="3046730"/>
                    </a:xfrm>
                    <a:prstGeom prst="rect">
                      <a:avLst/>
                    </a:prstGeom>
                  </pic:spPr>
                </pic:pic>
              </a:graphicData>
            </a:graphic>
            <wp14:sizeRelH relativeFrom="margin">
              <wp14:pctWidth>0</wp14:pctWidth>
            </wp14:sizeRelH>
            <wp14:sizeRelV relativeFrom="margin">
              <wp14:pctHeight>0</wp14:pctHeight>
            </wp14:sizeRelV>
          </wp:anchor>
        </w:drawing>
      </w:r>
      <w:r w:rsidR="002F4F4C">
        <w:rPr>
          <w:rFonts w:ascii="Arial" w:hAnsi="Arial" w:cs="Arial"/>
          <w:sz w:val="24"/>
          <w:szCs w:val="24"/>
        </w:rPr>
        <w:t xml:space="preserve">El Instituto de Acceso a la Información Pública de Guanajuato ha sido galardonado en diferentes ocasiones con premios y reconocimientos desde el 2012 </w:t>
      </w:r>
      <w:r w:rsidR="002F4F4C" w:rsidRPr="002F4F4C">
        <w:rPr>
          <w:rFonts w:ascii="Arial" w:hAnsi="Arial" w:cs="Arial"/>
          <w:sz w:val="24"/>
          <w:szCs w:val="24"/>
        </w:rPr>
        <w:t>por su labor en la promoción de la transparencia y el acceso a la información. Estos reconocimientos incluyen el Premio Nacional de Transparencia y el Reconocimiento al Mejor Portal de Transparencia Estatal.</w:t>
      </w:r>
      <w:r w:rsidR="001519C5">
        <w:rPr>
          <w:rFonts w:ascii="Arial" w:hAnsi="Arial" w:cs="Arial"/>
          <w:sz w:val="24"/>
          <w:szCs w:val="24"/>
        </w:rPr>
        <w:t xml:space="preserve"> </w:t>
      </w:r>
    </w:p>
    <w:p w14:paraId="12A290D5" w14:textId="240404B4" w:rsidR="002F4F4C" w:rsidRDefault="001519C5" w:rsidP="000776AF">
      <w:pPr>
        <w:spacing w:line="360" w:lineRule="auto"/>
        <w:jc w:val="both"/>
        <w:rPr>
          <w:rFonts w:ascii="Arial" w:hAnsi="Arial" w:cs="Arial"/>
          <w:sz w:val="24"/>
          <w:szCs w:val="24"/>
        </w:rPr>
      </w:pPr>
      <w:r w:rsidRPr="001519C5">
        <w:rPr>
          <w:rFonts w:ascii="Arial" w:hAnsi="Arial" w:cs="Arial"/>
          <w:sz w:val="24"/>
          <w:szCs w:val="24"/>
        </w:rPr>
        <w:t>El I</w:t>
      </w:r>
      <w:r>
        <w:rPr>
          <w:rFonts w:ascii="Arial" w:hAnsi="Arial" w:cs="Arial"/>
          <w:sz w:val="24"/>
          <w:szCs w:val="24"/>
        </w:rPr>
        <w:t>ACIP</w:t>
      </w:r>
      <w:r w:rsidRPr="001519C5">
        <w:rPr>
          <w:rFonts w:ascii="Arial" w:hAnsi="Arial" w:cs="Arial"/>
          <w:sz w:val="24"/>
          <w:szCs w:val="24"/>
        </w:rPr>
        <w:t xml:space="preserve"> ha trabajado en estrecha colaboración con organizaciones de la sociedad civil para promover la transparencia y el acceso a la información. Esto ha incluido la realización de talleres, foros y capacitaciones para sensibilizar a la población sobre la importancia de la transparencia y el acceso a la información.</w:t>
      </w:r>
    </w:p>
    <w:p w14:paraId="4E7F14F9" w14:textId="359934A4" w:rsidR="001519C5" w:rsidRDefault="001519C5" w:rsidP="000776AF">
      <w:pPr>
        <w:spacing w:line="360" w:lineRule="auto"/>
        <w:jc w:val="both"/>
        <w:rPr>
          <w:rFonts w:ascii="Arial" w:hAnsi="Arial" w:cs="Arial"/>
          <w:sz w:val="24"/>
          <w:szCs w:val="24"/>
        </w:rPr>
      </w:pPr>
      <w:r>
        <w:rPr>
          <w:rFonts w:ascii="Arial" w:hAnsi="Arial" w:cs="Arial"/>
          <w:sz w:val="24"/>
          <w:szCs w:val="24"/>
        </w:rPr>
        <w:t>En e</w:t>
      </w:r>
      <w:r w:rsidRPr="001519C5">
        <w:rPr>
          <w:rFonts w:ascii="Arial" w:hAnsi="Arial" w:cs="Arial"/>
          <w:sz w:val="24"/>
          <w:szCs w:val="24"/>
        </w:rPr>
        <w:t>l</w:t>
      </w:r>
      <w:r>
        <w:rPr>
          <w:rFonts w:ascii="Arial" w:hAnsi="Arial" w:cs="Arial"/>
          <w:sz w:val="24"/>
          <w:szCs w:val="24"/>
        </w:rPr>
        <w:t xml:space="preserve"> 2018 el </w:t>
      </w:r>
      <w:r w:rsidRPr="001519C5">
        <w:rPr>
          <w:rFonts w:ascii="Arial" w:hAnsi="Arial" w:cs="Arial"/>
          <w:sz w:val="24"/>
          <w:szCs w:val="24"/>
        </w:rPr>
        <w:t>IA</w:t>
      </w:r>
      <w:r>
        <w:rPr>
          <w:rFonts w:ascii="Arial" w:hAnsi="Arial" w:cs="Arial"/>
          <w:sz w:val="24"/>
          <w:szCs w:val="24"/>
        </w:rPr>
        <w:t>CIP</w:t>
      </w:r>
      <w:r w:rsidRPr="001519C5">
        <w:rPr>
          <w:rFonts w:ascii="Arial" w:hAnsi="Arial" w:cs="Arial"/>
          <w:sz w:val="24"/>
          <w:szCs w:val="24"/>
        </w:rPr>
        <w:t xml:space="preserve"> </w:t>
      </w:r>
      <w:r>
        <w:rPr>
          <w:rFonts w:ascii="Arial" w:hAnsi="Arial" w:cs="Arial"/>
          <w:sz w:val="24"/>
          <w:szCs w:val="24"/>
        </w:rPr>
        <w:t xml:space="preserve">logró </w:t>
      </w:r>
      <w:r w:rsidRPr="001519C5">
        <w:rPr>
          <w:rFonts w:ascii="Arial" w:hAnsi="Arial" w:cs="Arial"/>
          <w:sz w:val="24"/>
          <w:szCs w:val="24"/>
        </w:rPr>
        <w:t>implementar la Ley General de Transparencia y Acceso a la Información Pública, que establece los principios y bases para garantizar el derecho de acceso a la información pública en México.</w:t>
      </w:r>
    </w:p>
    <w:p w14:paraId="7A52EDCD" w14:textId="6CC242A2" w:rsidR="001519C5" w:rsidRDefault="001519C5" w:rsidP="000776AF">
      <w:pPr>
        <w:spacing w:line="360" w:lineRule="auto"/>
        <w:jc w:val="both"/>
        <w:rPr>
          <w:rFonts w:ascii="Arial" w:hAnsi="Arial" w:cs="Arial"/>
          <w:sz w:val="24"/>
          <w:szCs w:val="24"/>
        </w:rPr>
      </w:pPr>
      <w:r>
        <w:rPr>
          <w:rFonts w:ascii="Arial" w:hAnsi="Arial" w:cs="Arial"/>
          <w:sz w:val="24"/>
          <w:szCs w:val="24"/>
        </w:rPr>
        <w:t xml:space="preserve">Desde 2020 el </w:t>
      </w:r>
      <w:r w:rsidR="009975E9">
        <w:rPr>
          <w:rFonts w:ascii="Arial" w:hAnsi="Arial" w:cs="Arial"/>
          <w:sz w:val="24"/>
          <w:szCs w:val="24"/>
        </w:rPr>
        <w:t xml:space="preserve">IACIP ha sumado esfuerzos </w:t>
      </w:r>
      <w:proofErr w:type="gramStart"/>
      <w:r w:rsidR="009975E9">
        <w:rPr>
          <w:rFonts w:ascii="Arial" w:hAnsi="Arial" w:cs="Arial"/>
          <w:sz w:val="24"/>
          <w:szCs w:val="24"/>
        </w:rPr>
        <w:t xml:space="preserve">y </w:t>
      </w:r>
      <w:r w:rsidRPr="001519C5">
        <w:rPr>
          <w:rFonts w:ascii="Arial" w:hAnsi="Arial" w:cs="Arial"/>
          <w:sz w:val="24"/>
          <w:szCs w:val="24"/>
        </w:rPr>
        <w:t xml:space="preserve"> ha</w:t>
      </w:r>
      <w:proofErr w:type="gramEnd"/>
      <w:r w:rsidR="009975E9">
        <w:rPr>
          <w:rFonts w:ascii="Arial" w:hAnsi="Arial" w:cs="Arial"/>
          <w:sz w:val="24"/>
          <w:szCs w:val="24"/>
        </w:rPr>
        <w:t xml:space="preserve"> logrado</w:t>
      </w:r>
      <w:r w:rsidRPr="001519C5">
        <w:rPr>
          <w:rFonts w:ascii="Arial" w:hAnsi="Arial" w:cs="Arial"/>
          <w:sz w:val="24"/>
          <w:szCs w:val="24"/>
        </w:rPr>
        <w:t xml:space="preserve"> desarrolla</w:t>
      </w:r>
      <w:r w:rsidR="009975E9">
        <w:rPr>
          <w:rFonts w:ascii="Arial" w:hAnsi="Arial" w:cs="Arial"/>
          <w:sz w:val="24"/>
          <w:szCs w:val="24"/>
        </w:rPr>
        <w:t>r diferentes</w:t>
      </w:r>
      <w:r w:rsidRPr="001519C5">
        <w:rPr>
          <w:rFonts w:ascii="Arial" w:hAnsi="Arial" w:cs="Arial"/>
          <w:sz w:val="24"/>
          <w:szCs w:val="24"/>
        </w:rPr>
        <w:t xml:space="preserve"> herramientas y tecnologías para facilitar el acceso a la información pública y promover la transparencia. Esto incluye la creación de aplicaciones móviles y plataformas en línea para la presentación de solicitudes de acceso a la información.</w:t>
      </w:r>
      <w:r w:rsidR="009975E9">
        <w:rPr>
          <w:rFonts w:ascii="Arial" w:hAnsi="Arial" w:cs="Arial"/>
          <w:sz w:val="24"/>
          <w:szCs w:val="24"/>
        </w:rPr>
        <w:t xml:space="preserve"> </w:t>
      </w:r>
    </w:p>
    <w:p w14:paraId="4DD3A1C6" w14:textId="7706247F" w:rsidR="00711775" w:rsidRDefault="00711775" w:rsidP="000776AF">
      <w:pPr>
        <w:spacing w:line="360" w:lineRule="auto"/>
        <w:jc w:val="both"/>
        <w:rPr>
          <w:rFonts w:ascii="Arial" w:hAnsi="Arial" w:cs="Arial"/>
          <w:sz w:val="24"/>
          <w:szCs w:val="24"/>
        </w:rPr>
      </w:pPr>
    </w:p>
    <w:p w14:paraId="164AFB5C" w14:textId="77777777" w:rsidR="000776AF" w:rsidRDefault="000776AF" w:rsidP="000776AF">
      <w:pPr>
        <w:spacing w:line="360" w:lineRule="auto"/>
        <w:jc w:val="both"/>
        <w:rPr>
          <w:rFonts w:ascii="Arial" w:hAnsi="Arial" w:cs="Arial"/>
          <w:sz w:val="24"/>
          <w:szCs w:val="24"/>
        </w:rPr>
      </w:pPr>
    </w:p>
    <w:p w14:paraId="5E89DCF9" w14:textId="12713449" w:rsidR="000776AF" w:rsidRDefault="000776AF" w:rsidP="000776AF">
      <w:pPr>
        <w:spacing w:line="360" w:lineRule="auto"/>
        <w:jc w:val="both"/>
        <w:rPr>
          <w:rFonts w:ascii="Arial" w:hAnsi="Arial" w:cs="Arial"/>
          <w:sz w:val="24"/>
          <w:szCs w:val="24"/>
        </w:rPr>
      </w:pPr>
    </w:p>
    <w:p w14:paraId="7F13B52A" w14:textId="77777777" w:rsidR="004A00D8" w:rsidRDefault="004A00D8" w:rsidP="0028625B">
      <w:pPr>
        <w:spacing w:line="360" w:lineRule="auto"/>
        <w:jc w:val="both"/>
        <w:rPr>
          <w:rFonts w:ascii="Arial" w:hAnsi="Arial" w:cs="Arial"/>
          <w:sz w:val="24"/>
          <w:szCs w:val="24"/>
        </w:rPr>
      </w:pPr>
    </w:p>
    <w:p w14:paraId="384151B3" w14:textId="6BB44DA5" w:rsidR="008B27AB" w:rsidRDefault="008B27AB" w:rsidP="0028625B">
      <w:pPr>
        <w:spacing w:line="360" w:lineRule="auto"/>
        <w:jc w:val="both"/>
        <w:rPr>
          <w:rFonts w:ascii="Arial" w:hAnsi="Arial" w:cs="Arial"/>
          <w:sz w:val="24"/>
          <w:szCs w:val="24"/>
        </w:rPr>
      </w:pPr>
      <w:r>
        <w:rPr>
          <w:rFonts w:ascii="Arial" w:hAnsi="Arial" w:cs="Arial"/>
          <w:sz w:val="24"/>
          <w:szCs w:val="24"/>
        </w:rPr>
        <w:t>BIBLIOGRAFÍA</w:t>
      </w:r>
    </w:p>
    <w:p w14:paraId="1077C338" w14:textId="6BD76597" w:rsidR="008B27AB" w:rsidRDefault="008B27AB" w:rsidP="0028625B">
      <w:pPr>
        <w:spacing w:line="360" w:lineRule="auto"/>
        <w:jc w:val="both"/>
        <w:rPr>
          <w:rStyle w:val="Hipervnculo"/>
          <w:rFonts w:ascii="Arial" w:hAnsi="Arial" w:cs="Arial"/>
          <w:sz w:val="24"/>
          <w:szCs w:val="24"/>
        </w:rPr>
      </w:pPr>
      <w:r w:rsidRPr="008B27AB">
        <w:rPr>
          <w:rFonts w:ascii="Arial" w:hAnsi="Arial" w:cs="Arial"/>
          <w:i/>
          <w:iCs/>
          <w:sz w:val="24"/>
          <w:szCs w:val="24"/>
        </w:rPr>
        <w:t xml:space="preserve">¿Desde cuándo existe </w:t>
      </w:r>
      <w:proofErr w:type="gramStart"/>
      <w:r w:rsidRPr="008B27AB">
        <w:rPr>
          <w:rFonts w:ascii="Arial" w:hAnsi="Arial" w:cs="Arial"/>
          <w:i/>
          <w:iCs/>
          <w:sz w:val="24"/>
          <w:szCs w:val="24"/>
        </w:rPr>
        <w:t>en. .</w:t>
      </w:r>
      <w:proofErr w:type="gramEnd"/>
      <w:r w:rsidRPr="008B27AB">
        <w:rPr>
          <w:rFonts w:ascii="Arial" w:hAnsi="Arial" w:cs="Arial"/>
          <w:i/>
          <w:iCs/>
          <w:sz w:val="24"/>
          <w:szCs w:val="24"/>
        </w:rPr>
        <w:t xml:space="preserve"> .?  –  IACIP</w:t>
      </w:r>
      <w:r w:rsidRPr="008B27AB">
        <w:rPr>
          <w:rFonts w:ascii="Arial" w:hAnsi="Arial" w:cs="Arial"/>
          <w:sz w:val="24"/>
          <w:szCs w:val="24"/>
        </w:rPr>
        <w:t>. (s. f.). </w:t>
      </w:r>
      <w:hyperlink r:id="rId8" w:history="1">
        <w:r w:rsidRPr="00C74285">
          <w:rPr>
            <w:rStyle w:val="Hipervnculo"/>
            <w:rFonts w:ascii="Arial" w:hAnsi="Arial" w:cs="Arial"/>
            <w:sz w:val="24"/>
            <w:szCs w:val="24"/>
          </w:rPr>
          <w:t>https://iacip-gto.org.mx/wn/Sala%20de%20Prensa/desde-cuando-existe-en-mexico/</w:t>
        </w:r>
      </w:hyperlink>
    </w:p>
    <w:p w14:paraId="0E940019" w14:textId="105087FB" w:rsidR="004A00D8" w:rsidRPr="004A00D8" w:rsidRDefault="004A00D8" w:rsidP="004A00D8">
      <w:pPr>
        <w:spacing w:line="360" w:lineRule="auto"/>
        <w:jc w:val="both"/>
        <w:rPr>
          <w:rFonts w:ascii="Arial" w:hAnsi="Arial" w:cs="Arial"/>
          <w:sz w:val="24"/>
          <w:szCs w:val="24"/>
        </w:rPr>
      </w:pPr>
      <w:r w:rsidRPr="004A00D8">
        <w:rPr>
          <w:rFonts w:ascii="Arial" w:hAnsi="Arial" w:cs="Arial"/>
          <w:sz w:val="24"/>
          <w:szCs w:val="24"/>
        </w:rPr>
        <w:t xml:space="preserve">(s. f.). </w:t>
      </w:r>
      <w:r w:rsidRPr="004A00D8">
        <w:rPr>
          <w:rFonts w:ascii="Arial" w:hAnsi="Arial" w:cs="Arial"/>
          <w:i/>
          <w:iCs/>
          <w:sz w:val="24"/>
          <w:szCs w:val="24"/>
        </w:rPr>
        <w:t>¿</w:t>
      </w:r>
      <w:proofErr w:type="spellStart"/>
      <w:r w:rsidRPr="004A00D8">
        <w:rPr>
          <w:rFonts w:ascii="Arial" w:hAnsi="Arial" w:cs="Arial"/>
          <w:i/>
          <w:iCs/>
          <w:sz w:val="24"/>
          <w:szCs w:val="24"/>
        </w:rPr>
        <w:t>Quienes</w:t>
      </w:r>
      <w:proofErr w:type="spellEnd"/>
      <w:r w:rsidRPr="004A00D8">
        <w:rPr>
          <w:rFonts w:ascii="Arial" w:hAnsi="Arial" w:cs="Arial"/>
          <w:i/>
          <w:iCs/>
          <w:sz w:val="24"/>
          <w:szCs w:val="24"/>
        </w:rPr>
        <w:t xml:space="preserve"> somos? – IACIP</w:t>
      </w:r>
      <w:r w:rsidRPr="004A00D8">
        <w:rPr>
          <w:rFonts w:ascii="Arial" w:hAnsi="Arial" w:cs="Arial"/>
          <w:sz w:val="24"/>
          <w:szCs w:val="24"/>
        </w:rPr>
        <w:t>. https://iacip-gto.org.mx/wn/category/quienes-somos-2/</w:t>
      </w:r>
    </w:p>
    <w:p w14:paraId="0129C8DB" w14:textId="720C832F" w:rsidR="004A00D8" w:rsidRDefault="004A00D8" w:rsidP="004A00D8">
      <w:pPr>
        <w:spacing w:line="360" w:lineRule="auto"/>
        <w:jc w:val="both"/>
        <w:rPr>
          <w:rFonts w:ascii="Arial" w:hAnsi="Arial" w:cs="Arial"/>
          <w:sz w:val="24"/>
          <w:szCs w:val="24"/>
        </w:rPr>
      </w:pPr>
      <w:r w:rsidRPr="004A00D8">
        <w:rPr>
          <w:rFonts w:ascii="Arial" w:hAnsi="Arial" w:cs="Arial"/>
          <w:sz w:val="24"/>
          <w:szCs w:val="24"/>
        </w:rPr>
        <w:t xml:space="preserve">(s. f.-a). </w:t>
      </w:r>
      <w:r w:rsidRPr="004A00D8">
        <w:rPr>
          <w:rFonts w:ascii="Arial" w:hAnsi="Arial" w:cs="Arial"/>
          <w:i/>
          <w:iCs/>
          <w:sz w:val="24"/>
          <w:szCs w:val="24"/>
        </w:rPr>
        <w:t xml:space="preserve">Premio de Innovación y Buenas Prácticas en la Protección de Datos </w:t>
      </w:r>
      <w:proofErr w:type="gramStart"/>
      <w:r w:rsidRPr="004A00D8">
        <w:rPr>
          <w:rFonts w:ascii="Arial" w:hAnsi="Arial" w:cs="Arial"/>
          <w:i/>
          <w:iCs/>
          <w:sz w:val="24"/>
          <w:szCs w:val="24"/>
        </w:rPr>
        <w:t>Personales  –</w:t>
      </w:r>
      <w:proofErr w:type="gramEnd"/>
      <w:r w:rsidRPr="004A00D8">
        <w:rPr>
          <w:rFonts w:ascii="Arial" w:hAnsi="Arial" w:cs="Arial"/>
          <w:i/>
          <w:iCs/>
          <w:sz w:val="24"/>
          <w:szCs w:val="24"/>
        </w:rPr>
        <w:t>  IACIP</w:t>
      </w:r>
      <w:r w:rsidRPr="004A00D8">
        <w:rPr>
          <w:rFonts w:ascii="Arial" w:hAnsi="Arial" w:cs="Arial"/>
          <w:sz w:val="24"/>
          <w:szCs w:val="24"/>
        </w:rPr>
        <w:t xml:space="preserve">. </w:t>
      </w:r>
      <w:hyperlink r:id="rId9" w:history="1">
        <w:r w:rsidR="00C76F4B" w:rsidRPr="004A00D8">
          <w:rPr>
            <w:rStyle w:val="Hipervnculo"/>
            <w:rFonts w:ascii="Arial" w:hAnsi="Arial" w:cs="Arial"/>
            <w:sz w:val="24"/>
            <w:szCs w:val="24"/>
          </w:rPr>
          <w:t>https://iacip-gto.org.mx/wn/premio-de-innovacion-y-buenas-practicas-en-la-proteccion-de-datos-personales/</w:t>
        </w:r>
      </w:hyperlink>
    </w:p>
    <w:p w14:paraId="03AA2074" w14:textId="77777777" w:rsidR="00C76F4B" w:rsidRDefault="00C76F4B" w:rsidP="004A00D8">
      <w:pPr>
        <w:spacing w:line="360" w:lineRule="auto"/>
        <w:jc w:val="both"/>
        <w:rPr>
          <w:rFonts w:ascii="Arial" w:hAnsi="Arial" w:cs="Arial"/>
          <w:sz w:val="24"/>
          <w:szCs w:val="24"/>
        </w:rPr>
      </w:pPr>
    </w:p>
    <w:p w14:paraId="5D1620CA" w14:textId="6EB2B873" w:rsidR="00C76F4B" w:rsidRDefault="00C76F4B" w:rsidP="00C76F4B">
      <w:pPr>
        <w:spacing w:line="360" w:lineRule="auto"/>
        <w:jc w:val="both"/>
        <w:rPr>
          <w:rFonts w:ascii="Arial" w:hAnsi="Arial" w:cs="Arial"/>
          <w:sz w:val="24"/>
          <w:szCs w:val="24"/>
        </w:rPr>
      </w:pPr>
      <w:r>
        <w:rPr>
          <w:rFonts w:ascii="Arial" w:hAnsi="Arial" w:cs="Arial"/>
          <w:sz w:val="24"/>
          <w:szCs w:val="24"/>
        </w:rPr>
        <w:t xml:space="preserve">AUTOR: </w:t>
      </w:r>
      <w:proofErr w:type="spellStart"/>
      <w:r>
        <w:rPr>
          <w:rFonts w:ascii="Arial" w:hAnsi="Arial" w:cs="Arial"/>
          <w:sz w:val="24"/>
          <w:szCs w:val="24"/>
        </w:rPr>
        <w:t>Jose</w:t>
      </w:r>
      <w:proofErr w:type="spellEnd"/>
      <w:r>
        <w:rPr>
          <w:rFonts w:ascii="Arial" w:hAnsi="Arial" w:cs="Arial"/>
          <w:sz w:val="24"/>
          <w:szCs w:val="24"/>
        </w:rPr>
        <w:t xml:space="preserve"> Manuel Orozco Herrera</w:t>
      </w:r>
    </w:p>
    <w:p w14:paraId="71622443" w14:textId="77777777" w:rsidR="00C76F4B" w:rsidRPr="004A00D8" w:rsidRDefault="00C76F4B" w:rsidP="004A00D8">
      <w:pPr>
        <w:spacing w:line="360" w:lineRule="auto"/>
        <w:jc w:val="both"/>
        <w:rPr>
          <w:rFonts w:ascii="Arial" w:hAnsi="Arial" w:cs="Arial"/>
          <w:sz w:val="24"/>
          <w:szCs w:val="24"/>
        </w:rPr>
      </w:pPr>
    </w:p>
    <w:p w14:paraId="2CF266AC" w14:textId="77777777" w:rsidR="004A00D8" w:rsidRDefault="004A00D8" w:rsidP="0028625B">
      <w:pPr>
        <w:spacing w:line="360" w:lineRule="auto"/>
        <w:jc w:val="both"/>
        <w:rPr>
          <w:rFonts w:ascii="Arial" w:hAnsi="Arial" w:cs="Arial"/>
          <w:sz w:val="24"/>
          <w:szCs w:val="24"/>
        </w:rPr>
      </w:pPr>
    </w:p>
    <w:p w14:paraId="534CE7D5" w14:textId="77777777" w:rsidR="008B27AB" w:rsidRPr="0028625B" w:rsidRDefault="008B27AB" w:rsidP="0028625B">
      <w:pPr>
        <w:spacing w:line="360" w:lineRule="auto"/>
        <w:jc w:val="both"/>
        <w:rPr>
          <w:rFonts w:ascii="Arial" w:hAnsi="Arial" w:cs="Arial"/>
          <w:sz w:val="24"/>
          <w:szCs w:val="24"/>
        </w:rPr>
      </w:pPr>
    </w:p>
    <w:sectPr w:rsidR="008B27AB" w:rsidRPr="0028625B" w:rsidSect="0028625B">
      <w:pgSz w:w="12240" w:h="15840"/>
      <w:pgMar w:top="1701" w:right="1701" w:bottom="170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CB9"/>
    <w:rsid w:val="00064861"/>
    <w:rsid w:val="000776AF"/>
    <w:rsid w:val="000C3610"/>
    <w:rsid w:val="001519C5"/>
    <w:rsid w:val="0028625B"/>
    <w:rsid w:val="002F4F4C"/>
    <w:rsid w:val="003A3CB0"/>
    <w:rsid w:val="00427CB9"/>
    <w:rsid w:val="004A00D8"/>
    <w:rsid w:val="0056604B"/>
    <w:rsid w:val="005D0B62"/>
    <w:rsid w:val="006240F6"/>
    <w:rsid w:val="0064174F"/>
    <w:rsid w:val="00711775"/>
    <w:rsid w:val="008B27AB"/>
    <w:rsid w:val="009975E9"/>
    <w:rsid w:val="00A15DC4"/>
    <w:rsid w:val="00B36ED2"/>
    <w:rsid w:val="00C76F4B"/>
    <w:rsid w:val="00E15A4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35467"/>
  <w15:chartTrackingRefBased/>
  <w15:docId w15:val="{8CE07034-AE98-417F-9B1E-71DA77D37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427CB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427CB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427CB9"/>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427CB9"/>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427CB9"/>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427CB9"/>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427CB9"/>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427CB9"/>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427CB9"/>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27CB9"/>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427CB9"/>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427CB9"/>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427CB9"/>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427CB9"/>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427CB9"/>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427CB9"/>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427CB9"/>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427CB9"/>
    <w:rPr>
      <w:rFonts w:eastAsiaTheme="majorEastAsia" w:cstheme="majorBidi"/>
      <w:color w:val="272727" w:themeColor="text1" w:themeTint="D8"/>
    </w:rPr>
  </w:style>
  <w:style w:type="paragraph" w:styleId="Ttulo">
    <w:name w:val="Title"/>
    <w:basedOn w:val="Normal"/>
    <w:next w:val="Normal"/>
    <w:link w:val="TtuloCar"/>
    <w:uiPriority w:val="10"/>
    <w:qFormat/>
    <w:rsid w:val="00427CB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427CB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427CB9"/>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427CB9"/>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427CB9"/>
    <w:pPr>
      <w:spacing w:before="160"/>
      <w:jc w:val="center"/>
    </w:pPr>
    <w:rPr>
      <w:i/>
      <w:iCs/>
      <w:color w:val="404040" w:themeColor="text1" w:themeTint="BF"/>
    </w:rPr>
  </w:style>
  <w:style w:type="character" w:customStyle="1" w:styleId="CitaCar">
    <w:name w:val="Cita Car"/>
    <w:basedOn w:val="Fuentedeprrafopredeter"/>
    <w:link w:val="Cita"/>
    <w:uiPriority w:val="29"/>
    <w:rsid w:val="00427CB9"/>
    <w:rPr>
      <w:i/>
      <w:iCs/>
      <w:color w:val="404040" w:themeColor="text1" w:themeTint="BF"/>
    </w:rPr>
  </w:style>
  <w:style w:type="paragraph" w:styleId="Prrafodelista">
    <w:name w:val="List Paragraph"/>
    <w:basedOn w:val="Normal"/>
    <w:uiPriority w:val="34"/>
    <w:qFormat/>
    <w:rsid w:val="00427CB9"/>
    <w:pPr>
      <w:ind w:left="720"/>
      <w:contextualSpacing/>
    </w:pPr>
  </w:style>
  <w:style w:type="character" w:styleId="nfasisintenso">
    <w:name w:val="Intense Emphasis"/>
    <w:basedOn w:val="Fuentedeprrafopredeter"/>
    <w:uiPriority w:val="21"/>
    <w:qFormat/>
    <w:rsid w:val="00427CB9"/>
    <w:rPr>
      <w:i/>
      <w:iCs/>
      <w:color w:val="0F4761" w:themeColor="accent1" w:themeShade="BF"/>
    </w:rPr>
  </w:style>
  <w:style w:type="paragraph" w:styleId="Citadestacada">
    <w:name w:val="Intense Quote"/>
    <w:basedOn w:val="Normal"/>
    <w:next w:val="Normal"/>
    <w:link w:val="CitadestacadaCar"/>
    <w:uiPriority w:val="30"/>
    <w:qFormat/>
    <w:rsid w:val="00427CB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427CB9"/>
    <w:rPr>
      <w:i/>
      <w:iCs/>
      <w:color w:val="0F4761" w:themeColor="accent1" w:themeShade="BF"/>
    </w:rPr>
  </w:style>
  <w:style w:type="character" w:styleId="Referenciaintensa">
    <w:name w:val="Intense Reference"/>
    <w:basedOn w:val="Fuentedeprrafopredeter"/>
    <w:uiPriority w:val="32"/>
    <w:qFormat/>
    <w:rsid w:val="00427CB9"/>
    <w:rPr>
      <w:b/>
      <w:bCs/>
      <w:smallCaps/>
      <w:color w:val="0F4761" w:themeColor="accent1" w:themeShade="BF"/>
      <w:spacing w:val="5"/>
    </w:rPr>
  </w:style>
  <w:style w:type="character" w:styleId="Hipervnculo">
    <w:name w:val="Hyperlink"/>
    <w:basedOn w:val="Fuentedeprrafopredeter"/>
    <w:uiPriority w:val="99"/>
    <w:unhideWhenUsed/>
    <w:rsid w:val="008B27AB"/>
    <w:rPr>
      <w:color w:val="467886" w:themeColor="hyperlink"/>
      <w:u w:val="single"/>
    </w:rPr>
  </w:style>
  <w:style w:type="character" w:styleId="Mencinsinresolver">
    <w:name w:val="Unresolved Mention"/>
    <w:basedOn w:val="Fuentedeprrafopredeter"/>
    <w:uiPriority w:val="99"/>
    <w:semiHidden/>
    <w:unhideWhenUsed/>
    <w:rsid w:val="008B27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569078">
      <w:bodyDiv w:val="1"/>
      <w:marLeft w:val="0"/>
      <w:marRight w:val="0"/>
      <w:marTop w:val="0"/>
      <w:marBottom w:val="0"/>
      <w:divBdr>
        <w:top w:val="none" w:sz="0" w:space="0" w:color="auto"/>
        <w:left w:val="none" w:sz="0" w:space="0" w:color="auto"/>
        <w:bottom w:val="none" w:sz="0" w:space="0" w:color="auto"/>
        <w:right w:val="none" w:sz="0" w:space="0" w:color="auto"/>
      </w:divBdr>
      <w:divsChild>
        <w:div w:id="1819761227">
          <w:marLeft w:val="-720"/>
          <w:marRight w:val="0"/>
          <w:marTop w:val="0"/>
          <w:marBottom w:val="0"/>
          <w:divBdr>
            <w:top w:val="none" w:sz="0" w:space="0" w:color="auto"/>
            <w:left w:val="none" w:sz="0" w:space="0" w:color="auto"/>
            <w:bottom w:val="none" w:sz="0" w:space="0" w:color="auto"/>
            <w:right w:val="none" w:sz="0" w:space="0" w:color="auto"/>
          </w:divBdr>
        </w:div>
      </w:divsChild>
    </w:div>
    <w:div w:id="161240634">
      <w:bodyDiv w:val="1"/>
      <w:marLeft w:val="0"/>
      <w:marRight w:val="0"/>
      <w:marTop w:val="0"/>
      <w:marBottom w:val="0"/>
      <w:divBdr>
        <w:top w:val="none" w:sz="0" w:space="0" w:color="auto"/>
        <w:left w:val="none" w:sz="0" w:space="0" w:color="auto"/>
        <w:bottom w:val="none" w:sz="0" w:space="0" w:color="auto"/>
        <w:right w:val="none" w:sz="0" w:space="0" w:color="auto"/>
      </w:divBdr>
      <w:divsChild>
        <w:div w:id="1800999998">
          <w:marLeft w:val="-720"/>
          <w:marRight w:val="0"/>
          <w:marTop w:val="0"/>
          <w:marBottom w:val="0"/>
          <w:divBdr>
            <w:top w:val="none" w:sz="0" w:space="0" w:color="auto"/>
            <w:left w:val="none" w:sz="0" w:space="0" w:color="auto"/>
            <w:bottom w:val="none" w:sz="0" w:space="0" w:color="auto"/>
            <w:right w:val="none" w:sz="0" w:space="0" w:color="auto"/>
          </w:divBdr>
        </w:div>
      </w:divsChild>
    </w:div>
    <w:div w:id="671569571">
      <w:bodyDiv w:val="1"/>
      <w:marLeft w:val="0"/>
      <w:marRight w:val="0"/>
      <w:marTop w:val="0"/>
      <w:marBottom w:val="0"/>
      <w:divBdr>
        <w:top w:val="none" w:sz="0" w:space="0" w:color="auto"/>
        <w:left w:val="none" w:sz="0" w:space="0" w:color="auto"/>
        <w:bottom w:val="none" w:sz="0" w:space="0" w:color="auto"/>
        <w:right w:val="none" w:sz="0" w:space="0" w:color="auto"/>
      </w:divBdr>
      <w:divsChild>
        <w:div w:id="1073164502">
          <w:marLeft w:val="-720"/>
          <w:marRight w:val="0"/>
          <w:marTop w:val="0"/>
          <w:marBottom w:val="0"/>
          <w:divBdr>
            <w:top w:val="none" w:sz="0" w:space="0" w:color="auto"/>
            <w:left w:val="none" w:sz="0" w:space="0" w:color="auto"/>
            <w:bottom w:val="none" w:sz="0" w:space="0" w:color="auto"/>
            <w:right w:val="none" w:sz="0" w:space="0" w:color="auto"/>
          </w:divBdr>
        </w:div>
      </w:divsChild>
    </w:div>
    <w:div w:id="818309781">
      <w:bodyDiv w:val="1"/>
      <w:marLeft w:val="0"/>
      <w:marRight w:val="0"/>
      <w:marTop w:val="0"/>
      <w:marBottom w:val="0"/>
      <w:divBdr>
        <w:top w:val="none" w:sz="0" w:space="0" w:color="auto"/>
        <w:left w:val="none" w:sz="0" w:space="0" w:color="auto"/>
        <w:bottom w:val="none" w:sz="0" w:space="0" w:color="auto"/>
        <w:right w:val="none" w:sz="0" w:space="0" w:color="auto"/>
      </w:divBdr>
      <w:divsChild>
        <w:div w:id="2068264705">
          <w:marLeft w:val="-720"/>
          <w:marRight w:val="0"/>
          <w:marTop w:val="0"/>
          <w:marBottom w:val="0"/>
          <w:divBdr>
            <w:top w:val="none" w:sz="0" w:space="0" w:color="auto"/>
            <w:left w:val="none" w:sz="0" w:space="0" w:color="auto"/>
            <w:bottom w:val="none" w:sz="0" w:space="0" w:color="auto"/>
            <w:right w:val="none" w:sz="0" w:space="0" w:color="auto"/>
          </w:divBdr>
        </w:div>
      </w:divsChild>
    </w:div>
    <w:div w:id="1272590949">
      <w:bodyDiv w:val="1"/>
      <w:marLeft w:val="0"/>
      <w:marRight w:val="0"/>
      <w:marTop w:val="0"/>
      <w:marBottom w:val="0"/>
      <w:divBdr>
        <w:top w:val="none" w:sz="0" w:space="0" w:color="auto"/>
        <w:left w:val="none" w:sz="0" w:space="0" w:color="auto"/>
        <w:bottom w:val="none" w:sz="0" w:space="0" w:color="auto"/>
        <w:right w:val="none" w:sz="0" w:space="0" w:color="auto"/>
      </w:divBdr>
      <w:divsChild>
        <w:div w:id="1686518763">
          <w:marLeft w:val="-720"/>
          <w:marRight w:val="0"/>
          <w:marTop w:val="0"/>
          <w:marBottom w:val="0"/>
          <w:divBdr>
            <w:top w:val="none" w:sz="0" w:space="0" w:color="auto"/>
            <w:left w:val="none" w:sz="0" w:space="0" w:color="auto"/>
            <w:bottom w:val="none" w:sz="0" w:space="0" w:color="auto"/>
            <w:right w:val="none" w:sz="0" w:space="0" w:color="auto"/>
          </w:divBdr>
        </w:div>
      </w:divsChild>
    </w:div>
    <w:div w:id="1320844399">
      <w:bodyDiv w:val="1"/>
      <w:marLeft w:val="0"/>
      <w:marRight w:val="0"/>
      <w:marTop w:val="0"/>
      <w:marBottom w:val="0"/>
      <w:divBdr>
        <w:top w:val="none" w:sz="0" w:space="0" w:color="auto"/>
        <w:left w:val="none" w:sz="0" w:space="0" w:color="auto"/>
        <w:bottom w:val="none" w:sz="0" w:space="0" w:color="auto"/>
        <w:right w:val="none" w:sz="0" w:space="0" w:color="auto"/>
      </w:divBdr>
      <w:divsChild>
        <w:div w:id="868177945">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acip-gto.org.mx/wn/Sala%20de%20Prensa/desde-cuando-existe-en-mexico/" TargetMode="Externa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https://iacip-gto.org.mx/wn/premio-de-innovacion-y-buenas-practicas-en-la-proteccion-de-datos-personal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907</Words>
  <Characters>4989</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MANUEL</dc:creator>
  <cp:keywords/>
  <dc:description/>
  <cp:lastModifiedBy>Paola Lopez</cp:lastModifiedBy>
  <cp:revision>2</cp:revision>
  <dcterms:created xsi:type="dcterms:W3CDTF">2024-12-05T17:01:00Z</dcterms:created>
  <dcterms:modified xsi:type="dcterms:W3CDTF">2024-12-05T17:01:00Z</dcterms:modified>
</cp:coreProperties>
</file>