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79C9E6" w14:textId="77777777" w:rsidR="00267201" w:rsidRDefault="00267201" w:rsidP="008F3527">
      <w:pPr>
        <w:jc w:val="both"/>
      </w:pPr>
      <w:r>
        <w:t>Transparencia y acceso a la información pública: El papel del IACIP en Guanajuato</w:t>
      </w:r>
    </w:p>
    <w:p w14:paraId="0E62C99E" w14:textId="3049CABC" w:rsidR="008F3527" w:rsidRDefault="008F3527" w:rsidP="008F3527">
      <w:pPr>
        <w:jc w:val="both"/>
      </w:pPr>
      <w:r>
        <w:t xml:space="preserve">Autor: </w:t>
      </w:r>
      <w:proofErr w:type="spellStart"/>
      <w:r w:rsidRPr="008F3527">
        <w:t>Velkan</w:t>
      </w:r>
      <w:proofErr w:type="spellEnd"/>
      <w:r w:rsidRPr="008F3527">
        <w:t xml:space="preserve"> Josafat Domínguez Vega </w:t>
      </w:r>
    </w:p>
    <w:p w14:paraId="1143532D" w14:textId="77777777" w:rsidR="00267201" w:rsidRDefault="00267201" w:rsidP="008F3527">
      <w:pPr>
        <w:jc w:val="both"/>
      </w:pPr>
    </w:p>
    <w:p w14:paraId="5EDA97EC" w14:textId="77777777" w:rsidR="00267201" w:rsidRDefault="00267201" w:rsidP="008F3527">
      <w:pPr>
        <w:jc w:val="both"/>
      </w:pPr>
      <w:r>
        <w:t>La transparencia y el acceso a la información son pilares fundamentales de las democracias modernas, ya que garantizan la rendición de cuentas, fomentan la participación ciudadana y fortalecen el estado de derecho. En el caso de México, las entidades federativas han desarrollado sus propios mecanismos para cumplir con estas exigencias, siendo uno de ellos el Instituto de Acceso a la Información Pública para el Estado de Guanajuato (IACIP). Este organismo desempeña un papel crucial en la consolidación de un gobierno abierto y transparente, garantizando que los ciudadanos puedan ejercer su derecho de acceso a la información y la protección de sus datos personales.</w:t>
      </w:r>
    </w:p>
    <w:p w14:paraId="030329E1" w14:textId="77777777" w:rsidR="00267201" w:rsidRDefault="00267201" w:rsidP="008F3527">
      <w:pPr>
        <w:jc w:val="both"/>
      </w:pPr>
    </w:p>
    <w:p w14:paraId="2B6A5ADB" w14:textId="77777777" w:rsidR="00267201" w:rsidRDefault="00267201" w:rsidP="008F3527">
      <w:pPr>
        <w:jc w:val="both"/>
      </w:pPr>
      <w:r>
        <w:t>1. El contexto del acceso a la información en México</w:t>
      </w:r>
    </w:p>
    <w:p w14:paraId="2A2C4D4B" w14:textId="77777777" w:rsidR="00267201" w:rsidRDefault="00267201" w:rsidP="008F3527">
      <w:pPr>
        <w:jc w:val="both"/>
      </w:pPr>
    </w:p>
    <w:p w14:paraId="009DF68A" w14:textId="77777777" w:rsidR="00267201" w:rsidRDefault="00267201" w:rsidP="008F3527">
      <w:pPr>
        <w:jc w:val="both"/>
      </w:pPr>
      <w:r>
        <w:t>En el año 2002, con la promulgación de la Ley Federal de Transparencia y Acceso a la Información Pública Gubernamental, México dio un paso significativo hacia la construcción de un modelo de gobernanza transparente. Este avance implicó la creación del Instituto Nacional de Transparencia, Acceso a la Información y Protección de Datos Personales (INAI) como garante a nivel federal. Sin embargo, para responder a las necesidades locales y descentralizar la supervisión, cada estado implementó sus propios organismos reguladores, entre ellos el IACIP en Guanajuato.</w:t>
      </w:r>
    </w:p>
    <w:p w14:paraId="4707B9C4" w14:textId="77777777" w:rsidR="00267201" w:rsidRDefault="00267201" w:rsidP="008F3527">
      <w:pPr>
        <w:jc w:val="both"/>
      </w:pPr>
    </w:p>
    <w:p w14:paraId="0E6E5F70" w14:textId="77777777" w:rsidR="00267201" w:rsidRDefault="00267201" w:rsidP="008F3527">
      <w:pPr>
        <w:jc w:val="both"/>
      </w:pPr>
      <w:r>
        <w:t>La legislación nacional y estatal establece que cualquier ciudadano tiene derecho a acceder a la información pública, siempre que esta no comprometa la seguridad nacional, la privacidad de las personas o las investigaciones en curso. Este marco es esencial para combatir la corrupción y promover la confianza en las instituciones.</w:t>
      </w:r>
    </w:p>
    <w:p w14:paraId="3B4FF25A" w14:textId="77777777" w:rsidR="00267201" w:rsidRDefault="00267201" w:rsidP="008F3527">
      <w:pPr>
        <w:jc w:val="both"/>
      </w:pPr>
    </w:p>
    <w:p w14:paraId="0511360C" w14:textId="77777777" w:rsidR="00267201" w:rsidRDefault="00267201" w:rsidP="008F3527">
      <w:pPr>
        <w:jc w:val="both"/>
      </w:pPr>
      <w:r>
        <w:t>2. Historia del IACIP</w:t>
      </w:r>
    </w:p>
    <w:p w14:paraId="00532B8D" w14:textId="77777777" w:rsidR="00267201" w:rsidRDefault="00267201" w:rsidP="008F3527">
      <w:pPr>
        <w:jc w:val="both"/>
      </w:pPr>
    </w:p>
    <w:p w14:paraId="11BA74C0" w14:textId="77777777" w:rsidR="00267201" w:rsidRDefault="00267201" w:rsidP="008F3527">
      <w:pPr>
        <w:jc w:val="both"/>
      </w:pPr>
      <w:r>
        <w:t xml:space="preserve">El Instituto de Acceso a la Información Pública para el Estado de Guanajuato (IACIP) fue establecido en el año 2005, derivado de la necesidad de crear un órgano </w:t>
      </w:r>
      <w:r>
        <w:lastRenderedPageBreak/>
        <w:t>independiente que garantizara el cumplimiento de las leyes de transparencia en el estado. En ese año, Guanajuato promulgó su propia Ley de Transparencia y Acceso a la Información Pública, alineándose con el marco federal para dar respuesta a las demandas sociales de mayor rendición de cuentas.</w:t>
      </w:r>
    </w:p>
    <w:p w14:paraId="391DA9E4" w14:textId="77777777" w:rsidR="00267201" w:rsidRDefault="00267201" w:rsidP="008F3527">
      <w:pPr>
        <w:jc w:val="both"/>
      </w:pPr>
    </w:p>
    <w:p w14:paraId="420B6441" w14:textId="77777777" w:rsidR="00267201" w:rsidRDefault="00267201" w:rsidP="008F3527">
      <w:pPr>
        <w:jc w:val="both"/>
      </w:pPr>
      <w:r>
        <w:t>Desde su creación, el IACIP ha desempeñado un papel clave en supervisar a las dependencias estatales y municipales, asegurándose de que publiquen información pública de manera proactiva y respondan a las solicitudes de los ciudadanos. Durante su historia, el instituto ha evolucionado significativamente, pasando de procesos manuales a la adopción de tecnologías digitales que facilitan tanto la presentación de solicitudes como la publicación de datos en formatos abiertos.</w:t>
      </w:r>
    </w:p>
    <w:p w14:paraId="4A11E828" w14:textId="77777777" w:rsidR="00267201" w:rsidRDefault="00267201" w:rsidP="008F3527">
      <w:pPr>
        <w:jc w:val="both"/>
      </w:pPr>
    </w:p>
    <w:p w14:paraId="2C041881" w14:textId="77777777" w:rsidR="00267201" w:rsidRDefault="00267201" w:rsidP="008F3527">
      <w:pPr>
        <w:jc w:val="both"/>
      </w:pPr>
      <w:r>
        <w:t>En sus casi dos décadas de existencia, el IACIP ha enfrentado retos importantes, como la resistencia inicial de algunos entes públicos a transparentar su información y la falta de conocimiento ciudadano sobre cómo ejercer este derecho. Sin embargo, a través de campañas de difusión y capacitación, el instituto ha logrado consolidarse como un actor relevante en el fortalecimiento de la transparencia en Guanajuato.</w:t>
      </w:r>
    </w:p>
    <w:p w14:paraId="342CDBC4" w14:textId="77777777" w:rsidR="00267201" w:rsidRDefault="00267201" w:rsidP="008F3527">
      <w:pPr>
        <w:jc w:val="both"/>
      </w:pPr>
    </w:p>
    <w:p w14:paraId="37F7ABF2" w14:textId="77777777" w:rsidR="00267201" w:rsidRDefault="00267201" w:rsidP="008F3527">
      <w:pPr>
        <w:jc w:val="both"/>
      </w:pPr>
      <w:r>
        <w:t>3. Comparación del IACIP con otros estados</w:t>
      </w:r>
    </w:p>
    <w:p w14:paraId="338C302B" w14:textId="77777777" w:rsidR="00267201" w:rsidRDefault="00267201" w:rsidP="008F3527">
      <w:pPr>
        <w:jc w:val="both"/>
      </w:pPr>
    </w:p>
    <w:p w14:paraId="24209F84" w14:textId="77777777" w:rsidR="00267201" w:rsidRDefault="00267201" w:rsidP="008F3527">
      <w:pPr>
        <w:jc w:val="both"/>
      </w:pPr>
      <w:r>
        <w:t>Aunque todos los estados de México cuentan con órganos garantes de transparencia, el desempeño y la eficacia de estos institutos varían considerablemente. El IACIP ha sido destacado en diversas ocasiones por su adopción de tecnologías y herramientas de transparencia proactiva. Sin embargo, aún enfrenta retos comunes que comparte con otros estados, como la limitada capacidad de llegar a comunidades rurales.</w:t>
      </w:r>
    </w:p>
    <w:p w14:paraId="12943FC8" w14:textId="77777777" w:rsidR="00267201" w:rsidRDefault="00267201" w:rsidP="008F3527">
      <w:pPr>
        <w:jc w:val="both"/>
      </w:pPr>
    </w:p>
    <w:p w14:paraId="5C5F914E" w14:textId="77777777" w:rsidR="00267201" w:rsidRDefault="00267201" w:rsidP="008F3527">
      <w:pPr>
        <w:jc w:val="both"/>
      </w:pPr>
      <w:r>
        <w:t>Por ejemplo, estados como Jalisco y Ciudad de México han implementado modelos avanzados de portales de datos abiertos, que permiten un acceso más dinámico y visual a la información pública. Estos portales facilitan no solo la consulta de datos, sino también el análisis y la reutilización de la información para proyectos ciudadanos y empresariales. El IACIP ha tomado pasos en esta dirección, pero aún necesita fortalecer su infraestructura para competir con los mejores ejemplos nacionales.</w:t>
      </w:r>
    </w:p>
    <w:p w14:paraId="59563946" w14:textId="77777777" w:rsidR="00267201" w:rsidRDefault="00267201" w:rsidP="008F3527">
      <w:pPr>
        <w:jc w:val="both"/>
      </w:pPr>
    </w:p>
    <w:p w14:paraId="5BE00766" w14:textId="77777777" w:rsidR="00267201" w:rsidRDefault="00267201" w:rsidP="008F3527">
      <w:pPr>
        <w:jc w:val="both"/>
      </w:pPr>
      <w:r>
        <w:lastRenderedPageBreak/>
        <w:t>En contraste, algunos estados como Chiapas o Oaxaca, que enfrentan mayores limitaciones presupuestales y de infraestructura, han mostrado un menor avance en la implementación de tecnología y en la capacitación tanto de funcionarios públicos como de ciudadanos. Guanajuato, con un panorama socioeconómico más favorable, tiene la oportunidad de posicionarse como líder en transparencia a nivel nacional si aprovecha estos recursos para expandir su alcance y mejorar su impacto.</w:t>
      </w:r>
    </w:p>
    <w:p w14:paraId="3C88AD25" w14:textId="77777777" w:rsidR="00267201" w:rsidRDefault="00267201" w:rsidP="008F3527">
      <w:pPr>
        <w:jc w:val="both"/>
      </w:pPr>
    </w:p>
    <w:p w14:paraId="62673D28" w14:textId="77777777" w:rsidR="00267201" w:rsidRDefault="00267201" w:rsidP="008F3527">
      <w:pPr>
        <w:jc w:val="both"/>
      </w:pPr>
      <w:r>
        <w:t>Un aspecto destacable del IACIP es su enfoque en la capacitación. Ha trabajado para sensibilizar a servidores públicos y promover una cultura de transparencia entre los ciudadanos, algo que algunos estados han descuidado. Sin embargo, comparado con estados como Nuevo León, que ha implementado campañas masivas de difusión sobre el derecho de acceso a la información, el IACIP todavía enfrenta el reto de incrementar la visibilidad de sus esfuerzos entre la población guanajuatense.</w:t>
      </w:r>
    </w:p>
    <w:p w14:paraId="2DA203C5" w14:textId="77777777" w:rsidR="00267201" w:rsidRDefault="00267201" w:rsidP="008F3527">
      <w:pPr>
        <w:jc w:val="both"/>
      </w:pPr>
    </w:p>
    <w:p w14:paraId="3B77670C" w14:textId="77777777" w:rsidR="00267201" w:rsidRDefault="00267201" w:rsidP="008F3527">
      <w:pPr>
        <w:jc w:val="both"/>
      </w:pPr>
      <w:r>
        <w:t>4. El IACIP y su misión en Guanajuato</w:t>
      </w:r>
    </w:p>
    <w:p w14:paraId="6EB8FFF6" w14:textId="77777777" w:rsidR="00267201" w:rsidRDefault="00267201" w:rsidP="008F3527">
      <w:pPr>
        <w:jc w:val="both"/>
      </w:pPr>
    </w:p>
    <w:p w14:paraId="4A4080F2" w14:textId="77777777" w:rsidR="00267201" w:rsidRDefault="00267201" w:rsidP="008F3527">
      <w:pPr>
        <w:jc w:val="both"/>
      </w:pPr>
      <w:r>
        <w:t>El Instituto de Acceso a la Información Pública para el Estado de Guanajuato fue creado con el objetivo de garantizar que las dependencias públicas y sujetos obligados en el estado cumplan con sus obligaciones de transparencia. Su misión incluye:</w:t>
      </w:r>
    </w:p>
    <w:p w14:paraId="279F9211" w14:textId="77777777" w:rsidR="00267201" w:rsidRDefault="00267201" w:rsidP="008F3527">
      <w:pPr>
        <w:jc w:val="both"/>
      </w:pPr>
      <w:r>
        <w:tab/>
        <w:t>•</w:t>
      </w:r>
      <w:r>
        <w:tab/>
        <w:t>Garantizar el acceso a la información pública: Asegurando que los ciudadanos puedan obtener datos relevantes de manera oportuna y efectiva.</w:t>
      </w:r>
    </w:p>
    <w:p w14:paraId="2FB35AF6" w14:textId="77777777" w:rsidR="00267201" w:rsidRDefault="00267201" w:rsidP="008F3527">
      <w:pPr>
        <w:jc w:val="both"/>
      </w:pPr>
      <w:r>
        <w:tab/>
        <w:t>•</w:t>
      </w:r>
      <w:r>
        <w:tab/>
        <w:t>Proteger los datos personales: Regulando la recopilación, almacenamiento y uso de la información personal por parte de entidades públicas.</w:t>
      </w:r>
    </w:p>
    <w:p w14:paraId="0EB55F78" w14:textId="77777777" w:rsidR="00267201" w:rsidRDefault="00267201" w:rsidP="008F3527">
      <w:pPr>
        <w:jc w:val="both"/>
      </w:pPr>
      <w:r>
        <w:tab/>
        <w:t>•</w:t>
      </w:r>
      <w:r>
        <w:tab/>
        <w:t>Fomentar la transparencia proactiva: Promoviendo que las instituciones publiquen información clave de forma accesible, incluso sin solicitudes formales.</w:t>
      </w:r>
    </w:p>
    <w:p w14:paraId="5F1C38BD" w14:textId="77777777" w:rsidR="00267201" w:rsidRDefault="00267201" w:rsidP="008F3527">
      <w:pPr>
        <w:jc w:val="both"/>
      </w:pPr>
    </w:p>
    <w:p w14:paraId="58B982B3" w14:textId="77777777" w:rsidR="00267201" w:rsidRDefault="00267201" w:rsidP="008F3527">
      <w:pPr>
        <w:jc w:val="both"/>
      </w:pPr>
      <w:r>
        <w:t>El IACIP actúa como un árbitro imparcial en casos donde los ciudadanos sienten que sus solicitudes de información han sido injustamente rechazadas. Este rol es crucial en un estado como Guanajuato, donde la confianza ciudadana en las instituciones puede fortalecerse a través de un acceso efectivo a la información.</w:t>
      </w:r>
    </w:p>
    <w:p w14:paraId="5FD7F746" w14:textId="77777777" w:rsidR="00267201" w:rsidRDefault="00267201" w:rsidP="008F3527">
      <w:pPr>
        <w:jc w:val="both"/>
      </w:pPr>
    </w:p>
    <w:p w14:paraId="7B3627FF" w14:textId="77777777" w:rsidR="00267201" w:rsidRDefault="00267201" w:rsidP="008F3527">
      <w:pPr>
        <w:jc w:val="both"/>
      </w:pPr>
      <w:r>
        <w:t>5. Retos en el desempeño del IACIP</w:t>
      </w:r>
    </w:p>
    <w:p w14:paraId="67A94D3B" w14:textId="77777777" w:rsidR="00267201" w:rsidRDefault="00267201" w:rsidP="008F3527">
      <w:pPr>
        <w:jc w:val="both"/>
      </w:pPr>
    </w:p>
    <w:p w14:paraId="6504CA57" w14:textId="77777777" w:rsidR="00267201" w:rsidRDefault="00267201" w:rsidP="008F3527">
      <w:pPr>
        <w:jc w:val="both"/>
      </w:pPr>
      <w:r>
        <w:t>A pesar de sus avances, el IACIP enfrenta desafíos importantes que condicionan su impacto en la sociedad guanajuatense:</w:t>
      </w:r>
    </w:p>
    <w:p w14:paraId="03D359C1" w14:textId="77777777" w:rsidR="00267201" w:rsidRDefault="00267201" w:rsidP="008F3527">
      <w:pPr>
        <w:jc w:val="both"/>
      </w:pPr>
      <w:r>
        <w:tab/>
        <w:t>•</w:t>
      </w:r>
      <w:r>
        <w:tab/>
        <w:t>Desconocimiento ciudadano: Muchos habitantes del estado desconocen sus derechos de acceso a la información o no saben cómo ejercerlos.</w:t>
      </w:r>
    </w:p>
    <w:p w14:paraId="5E26F509" w14:textId="77777777" w:rsidR="00267201" w:rsidRDefault="00267201" w:rsidP="008F3527">
      <w:pPr>
        <w:jc w:val="both"/>
      </w:pPr>
      <w:r>
        <w:tab/>
        <w:t>•</w:t>
      </w:r>
      <w:r>
        <w:tab/>
        <w:t>Resistencia institucional: Algunas dependencias públicas muestran reticencia a cumplir con sus obligaciones, ya sea por desconocimiento o por temor a revelar información que pueda ser utilizada en su contra.</w:t>
      </w:r>
    </w:p>
    <w:p w14:paraId="179355C1" w14:textId="77777777" w:rsidR="00267201" w:rsidRDefault="00267201" w:rsidP="008F3527">
      <w:pPr>
        <w:jc w:val="both"/>
      </w:pPr>
      <w:r>
        <w:tab/>
        <w:t>•</w:t>
      </w:r>
      <w:r>
        <w:tab/>
        <w:t>Capacidades técnicas limitadas: Aunque se han desarrollado herramientas tecnológicas, no siempre están disponibles para comunidades rurales o marginadas, donde el acceso a internet es limitado.</w:t>
      </w:r>
    </w:p>
    <w:p w14:paraId="0A4D8DC8" w14:textId="77777777" w:rsidR="00267201" w:rsidRDefault="00267201" w:rsidP="008F3527">
      <w:pPr>
        <w:jc w:val="both"/>
      </w:pPr>
    </w:p>
    <w:p w14:paraId="5C44DBC4" w14:textId="77777777" w:rsidR="00267201" w:rsidRDefault="00267201" w:rsidP="008F3527">
      <w:pPr>
        <w:jc w:val="both"/>
      </w:pPr>
      <w:r>
        <w:t>Estos retos subrayan la necesidad de fortalecer los mecanismos de difusión del IACIP y garantizar que todos los sectores de la sociedad tengan igualdad de oportunidades para ejercer su derecho a la información.</w:t>
      </w:r>
    </w:p>
    <w:p w14:paraId="58AFCB30" w14:textId="77777777" w:rsidR="00267201" w:rsidRDefault="00267201" w:rsidP="008F3527">
      <w:pPr>
        <w:jc w:val="both"/>
      </w:pPr>
    </w:p>
    <w:p w14:paraId="6B12DA3C" w14:textId="77777777" w:rsidR="00267201" w:rsidRDefault="00267201" w:rsidP="008F3527">
      <w:pPr>
        <w:jc w:val="both"/>
      </w:pPr>
      <w:r>
        <w:t>6. Impacto en la sociedad y la democracia local</w:t>
      </w:r>
    </w:p>
    <w:p w14:paraId="4D4B1BEB" w14:textId="77777777" w:rsidR="00267201" w:rsidRDefault="00267201" w:rsidP="008F3527">
      <w:pPr>
        <w:jc w:val="both"/>
      </w:pPr>
    </w:p>
    <w:p w14:paraId="557AE468" w14:textId="77777777" w:rsidR="00267201" w:rsidRDefault="00267201" w:rsidP="008F3527">
      <w:pPr>
        <w:jc w:val="both"/>
      </w:pPr>
      <w:r>
        <w:t>El trabajo del IACIP tiene implicaciones profundas en la vida de los ciudadanos y en el desarrollo de Guanajuato. Un acceso efectivo a la información pública fomenta una ciudadanía más crítica y participativa, capaz de cuestionar las decisiones gubernamentales y exigir mejoras en los servicios públicos.</w:t>
      </w:r>
    </w:p>
    <w:p w14:paraId="6699420B" w14:textId="77777777" w:rsidR="00267201" w:rsidRDefault="00267201" w:rsidP="008F3527">
      <w:pPr>
        <w:jc w:val="both"/>
      </w:pPr>
    </w:p>
    <w:p w14:paraId="20879F27" w14:textId="77777777" w:rsidR="00267201" w:rsidRDefault="00267201" w:rsidP="008F3527">
      <w:pPr>
        <w:jc w:val="both"/>
      </w:pPr>
      <w:r>
        <w:t>Además, la transparencia fortalece la lucha contra la corrupción, al permitir que los ciudadanos y las organizaciones supervisen el uso de los recursos públicos. En este sentido, el IACIP se convierte en un aliado estratégico para promover la rendición de cuentas en un contexto donde la percepción de corrupción sigue siendo alta a nivel nacional.</w:t>
      </w:r>
    </w:p>
    <w:p w14:paraId="0DF15803" w14:textId="77777777" w:rsidR="00267201" w:rsidRDefault="00267201" w:rsidP="008F3527">
      <w:pPr>
        <w:jc w:val="both"/>
      </w:pPr>
    </w:p>
    <w:p w14:paraId="64C6565D" w14:textId="77777777" w:rsidR="0042080D" w:rsidRDefault="0042080D" w:rsidP="008F3527">
      <w:pPr>
        <w:jc w:val="both"/>
      </w:pPr>
    </w:p>
    <w:p w14:paraId="7ECA3172" w14:textId="77777777" w:rsidR="00267201" w:rsidRDefault="00267201" w:rsidP="008F3527">
      <w:pPr>
        <w:jc w:val="both"/>
      </w:pPr>
      <w:r>
        <w:t>Conclusión</w:t>
      </w:r>
    </w:p>
    <w:p w14:paraId="2DD7D1C2" w14:textId="77777777" w:rsidR="00267201" w:rsidRDefault="00267201" w:rsidP="008F3527">
      <w:pPr>
        <w:jc w:val="both"/>
      </w:pPr>
    </w:p>
    <w:p w14:paraId="4B96D651" w14:textId="77777777" w:rsidR="00267201" w:rsidRDefault="00267201" w:rsidP="008F3527">
      <w:pPr>
        <w:jc w:val="both"/>
      </w:pPr>
      <w:r>
        <w:t>El IACIP es una institución clave para consolidar un gobierno abierto y transparente en Guanajuato. A través de sus funciones, no solo garantiza el acceso a la información pública, sino que también protege los derechos fundamentales de los ciudadanos en un entorno cada vez más complejo y digitalizado. Sin embargo, su impacto dependerá de su capacidad para superar los retos que enfrenta, desde el fortalecimiento de su infraestructura hasta la difusión masiva de sus beneficios.</w:t>
      </w:r>
    </w:p>
    <w:p w14:paraId="74A8CF45" w14:textId="77777777" w:rsidR="00267201" w:rsidRDefault="00267201" w:rsidP="008F3527">
      <w:pPr>
        <w:jc w:val="both"/>
      </w:pPr>
    </w:p>
    <w:p w14:paraId="50A9A939" w14:textId="0B246ED9" w:rsidR="00CA0B81" w:rsidRDefault="00267201" w:rsidP="008F3527">
      <w:pPr>
        <w:jc w:val="both"/>
      </w:pPr>
      <w:r>
        <w:t>En última instancia, la labor del IACIP trasciende los límites de la administración pública, pues fomenta una cultura de transparencia que beneficia a toda la sociedad guanajuatense. Como ciudadanos, es nuestra responsabilidad ejercer nuestros derechos de acceso a la información y colaborar activamente en la construcción de un estado más justo, participativo y democrático.</w:t>
      </w:r>
    </w:p>
    <w:sectPr w:rsidR="00CA0B81">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0B81"/>
    <w:rsid w:val="00064861"/>
    <w:rsid w:val="00267201"/>
    <w:rsid w:val="0042080D"/>
    <w:rsid w:val="008F3527"/>
    <w:rsid w:val="00CA0B81"/>
    <w:rsid w:val="00CF7DE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92519E"/>
  <w15:chartTrackingRefBased/>
  <w15:docId w15:val="{C54DFD3E-6E64-4A58-B3DD-E90EF7B7B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s-MX"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CA0B8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CA0B8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CA0B81"/>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CA0B81"/>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CA0B81"/>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CA0B81"/>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CA0B81"/>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CA0B81"/>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CA0B81"/>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CA0B81"/>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CA0B81"/>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CA0B81"/>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CA0B81"/>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CA0B81"/>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CA0B81"/>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CA0B81"/>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CA0B81"/>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CA0B81"/>
    <w:rPr>
      <w:rFonts w:eastAsiaTheme="majorEastAsia" w:cstheme="majorBidi"/>
      <w:color w:val="272727" w:themeColor="text1" w:themeTint="D8"/>
    </w:rPr>
  </w:style>
  <w:style w:type="paragraph" w:styleId="Ttulo">
    <w:name w:val="Title"/>
    <w:basedOn w:val="Normal"/>
    <w:next w:val="Normal"/>
    <w:link w:val="TtuloCar"/>
    <w:uiPriority w:val="10"/>
    <w:qFormat/>
    <w:rsid w:val="00CA0B8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CA0B81"/>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CA0B81"/>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CA0B81"/>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CA0B81"/>
    <w:pPr>
      <w:spacing w:before="160"/>
      <w:jc w:val="center"/>
    </w:pPr>
    <w:rPr>
      <w:i/>
      <w:iCs/>
      <w:color w:val="404040" w:themeColor="text1" w:themeTint="BF"/>
    </w:rPr>
  </w:style>
  <w:style w:type="character" w:customStyle="1" w:styleId="CitaCar">
    <w:name w:val="Cita Car"/>
    <w:basedOn w:val="Fuentedeprrafopredeter"/>
    <w:link w:val="Cita"/>
    <w:uiPriority w:val="29"/>
    <w:rsid w:val="00CA0B81"/>
    <w:rPr>
      <w:i/>
      <w:iCs/>
      <w:color w:val="404040" w:themeColor="text1" w:themeTint="BF"/>
    </w:rPr>
  </w:style>
  <w:style w:type="paragraph" w:styleId="Prrafodelista">
    <w:name w:val="List Paragraph"/>
    <w:basedOn w:val="Normal"/>
    <w:uiPriority w:val="34"/>
    <w:qFormat/>
    <w:rsid w:val="00CA0B81"/>
    <w:pPr>
      <w:ind w:left="720"/>
      <w:contextualSpacing/>
    </w:pPr>
  </w:style>
  <w:style w:type="character" w:styleId="nfasisintenso">
    <w:name w:val="Intense Emphasis"/>
    <w:basedOn w:val="Fuentedeprrafopredeter"/>
    <w:uiPriority w:val="21"/>
    <w:qFormat/>
    <w:rsid w:val="00CA0B81"/>
    <w:rPr>
      <w:i/>
      <w:iCs/>
      <w:color w:val="0F4761" w:themeColor="accent1" w:themeShade="BF"/>
    </w:rPr>
  </w:style>
  <w:style w:type="paragraph" w:styleId="Citadestacada">
    <w:name w:val="Intense Quote"/>
    <w:basedOn w:val="Normal"/>
    <w:next w:val="Normal"/>
    <w:link w:val="CitadestacadaCar"/>
    <w:uiPriority w:val="30"/>
    <w:qFormat/>
    <w:rsid w:val="00CA0B8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CA0B81"/>
    <w:rPr>
      <w:i/>
      <w:iCs/>
      <w:color w:val="0F4761" w:themeColor="accent1" w:themeShade="BF"/>
    </w:rPr>
  </w:style>
  <w:style w:type="character" w:styleId="Referenciaintensa">
    <w:name w:val="Intense Reference"/>
    <w:basedOn w:val="Fuentedeprrafopredeter"/>
    <w:uiPriority w:val="32"/>
    <w:qFormat/>
    <w:rsid w:val="00CA0B81"/>
    <w:rPr>
      <w:b/>
      <w:bCs/>
      <w:smallCaps/>
      <w:color w:val="0F4761" w:themeColor="accent1" w:themeShade="BF"/>
      <w:spacing w:val="5"/>
    </w:rPr>
  </w:style>
  <w:style w:type="character" w:styleId="Hipervnculo">
    <w:name w:val="Hyperlink"/>
    <w:basedOn w:val="Fuentedeprrafopredeter"/>
    <w:uiPriority w:val="99"/>
    <w:unhideWhenUsed/>
    <w:rsid w:val="008F3527"/>
    <w:rPr>
      <w:color w:val="467886" w:themeColor="hyperlink"/>
      <w:u w:val="single"/>
    </w:rPr>
  </w:style>
  <w:style w:type="character" w:styleId="Mencinsinresolver">
    <w:name w:val="Unresolved Mention"/>
    <w:basedOn w:val="Fuentedeprrafopredeter"/>
    <w:uiPriority w:val="99"/>
    <w:semiHidden/>
    <w:unhideWhenUsed/>
    <w:rsid w:val="008F352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87354860">
      <w:bodyDiv w:val="1"/>
      <w:marLeft w:val="0"/>
      <w:marRight w:val="0"/>
      <w:marTop w:val="0"/>
      <w:marBottom w:val="0"/>
      <w:divBdr>
        <w:top w:val="none" w:sz="0" w:space="0" w:color="auto"/>
        <w:left w:val="none" w:sz="0" w:space="0" w:color="auto"/>
        <w:bottom w:val="none" w:sz="0" w:space="0" w:color="auto"/>
        <w:right w:val="none" w:sz="0" w:space="0" w:color="auto"/>
      </w:divBdr>
      <w:divsChild>
        <w:div w:id="349727223">
          <w:marLeft w:val="0"/>
          <w:marRight w:val="0"/>
          <w:marTop w:val="0"/>
          <w:marBottom w:val="0"/>
          <w:divBdr>
            <w:top w:val="none" w:sz="0" w:space="0" w:color="auto"/>
            <w:left w:val="none" w:sz="0" w:space="0" w:color="auto"/>
            <w:bottom w:val="none" w:sz="0" w:space="0" w:color="auto"/>
            <w:right w:val="none" w:sz="0" w:space="0" w:color="auto"/>
          </w:divBdr>
        </w:div>
        <w:div w:id="1186671361">
          <w:marLeft w:val="0"/>
          <w:marRight w:val="0"/>
          <w:marTop w:val="0"/>
          <w:marBottom w:val="0"/>
          <w:divBdr>
            <w:top w:val="none" w:sz="0" w:space="0" w:color="auto"/>
            <w:left w:val="none" w:sz="0" w:space="0" w:color="auto"/>
            <w:bottom w:val="none" w:sz="0" w:space="0" w:color="auto"/>
            <w:right w:val="none" w:sz="0" w:space="0" w:color="auto"/>
          </w:divBdr>
        </w:div>
        <w:div w:id="1601914098">
          <w:marLeft w:val="0"/>
          <w:marRight w:val="0"/>
          <w:marTop w:val="0"/>
          <w:marBottom w:val="0"/>
          <w:divBdr>
            <w:top w:val="none" w:sz="0" w:space="0" w:color="auto"/>
            <w:left w:val="none" w:sz="0" w:space="0" w:color="auto"/>
            <w:bottom w:val="none" w:sz="0" w:space="0" w:color="auto"/>
            <w:right w:val="none" w:sz="0" w:space="0" w:color="auto"/>
          </w:divBdr>
        </w:div>
        <w:div w:id="380442884">
          <w:marLeft w:val="0"/>
          <w:marRight w:val="0"/>
          <w:marTop w:val="0"/>
          <w:marBottom w:val="0"/>
          <w:divBdr>
            <w:top w:val="none" w:sz="0" w:space="0" w:color="auto"/>
            <w:left w:val="none" w:sz="0" w:space="0" w:color="auto"/>
            <w:bottom w:val="none" w:sz="0" w:space="0" w:color="auto"/>
            <w:right w:val="none" w:sz="0" w:space="0" w:color="auto"/>
          </w:divBdr>
        </w:div>
      </w:divsChild>
    </w:div>
    <w:div w:id="1418594878">
      <w:bodyDiv w:val="1"/>
      <w:marLeft w:val="0"/>
      <w:marRight w:val="0"/>
      <w:marTop w:val="0"/>
      <w:marBottom w:val="0"/>
      <w:divBdr>
        <w:top w:val="none" w:sz="0" w:space="0" w:color="auto"/>
        <w:left w:val="none" w:sz="0" w:space="0" w:color="auto"/>
        <w:bottom w:val="none" w:sz="0" w:space="0" w:color="auto"/>
        <w:right w:val="none" w:sz="0" w:space="0" w:color="auto"/>
      </w:divBdr>
      <w:divsChild>
        <w:div w:id="243338065">
          <w:marLeft w:val="0"/>
          <w:marRight w:val="0"/>
          <w:marTop w:val="0"/>
          <w:marBottom w:val="0"/>
          <w:divBdr>
            <w:top w:val="none" w:sz="0" w:space="0" w:color="auto"/>
            <w:left w:val="none" w:sz="0" w:space="0" w:color="auto"/>
            <w:bottom w:val="none" w:sz="0" w:space="0" w:color="auto"/>
            <w:right w:val="none" w:sz="0" w:space="0" w:color="auto"/>
          </w:divBdr>
        </w:div>
        <w:div w:id="811214220">
          <w:marLeft w:val="0"/>
          <w:marRight w:val="0"/>
          <w:marTop w:val="0"/>
          <w:marBottom w:val="0"/>
          <w:divBdr>
            <w:top w:val="none" w:sz="0" w:space="0" w:color="auto"/>
            <w:left w:val="none" w:sz="0" w:space="0" w:color="auto"/>
            <w:bottom w:val="none" w:sz="0" w:space="0" w:color="auto"/>
            <w:right w:val="none" w:sz="0" w:space="0" w:color="auto"/>
          </w:divBdr>
        </w:div>
        <w:div w:id="1855610143">
          <w:marLeft w:val="0"/>
          <w:marRight w:val="0"/>
          <w:marTop w:val="0"/>
          <w:marBottom w:val="0"/>
          <w:divBdr>
            <w:top w:val="none" w:sz="0" w:space="0" w:color="auto"/>
            <w:left w:val="none" w:sz="0" w:space="0" w:color="auto"/>
            <w:bottom w:val="none" w:sz="0" w:space="0" w:color="auto"/>
            <w:right w:val="none" w:sz="0" w:space="0" w:color="auto"/>
          </w:divBdr>
        </w:div>
        <w:div w:id="4500552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1317</Words>
  <Characters>7247</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Velkan Josafat Dominguez Vega - Alumno</dc:creator>
  <cp:keywords/>
  <dc:description/>
  <cp:lastModifiedBy>Paola Lopez</cp:lastModifiedBy>
  <cp:revision>2</cp:revision>
  <dcterms:created xsi:type="dcterms:W3CDTF">2024-12-05T16:58:00Z</dcterms:created>
  <dcterms:modified xsi:type="dcterms:W3CDTF">2024-12-05T16:58:00Z</dcterms:modified>
</cp:coreProperties>
</file>