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1263F6" w14:textId="77777777" w:rsidR="00A5595D" w:rsidRPr="00F21CA2" w:rsidRDefault="00A5595D" w:rsidP="00F21CA2">
      <w:pPr>
        <w:jc w:val="center"/>
        <w:rPr>
          <w:rFonts w:ascii="Arial" w:hAnsi="Arial" w:cs="Arial"/>
        </w:rPr>
      </w:pPr>
      <w:r w:rsidRPr="00F21CA2">
        <w:rPr>
          <w:rFonts w:ascii="Arial" w:hAnsi="Arial" w:cs="Arial"/>
        </w:rPr>
        <w:t>IACIP</w:t>
      </w:r>
    </w:p>
    <w:p w14:paraId="43D55E49" w14:textId="48C539E9" w:rsidR="00F21CA2" w:rsidRPr="00F21CA2" w:rsidRDefault="00F21CA2" w:rsidP="00F21CA2">
      <w:pPr>
        <w:jc w:val="center"/>
        <w:rPr>
          <w:rFonts w:ascii="Arial" w:hAnsi="Arial" w:cs="Arial"/>
          <w:b/>
          <w:bCs/>
        </w:rPr>
      </w:pPr>
      <w:r w:rsidRPr="00F21CA2">
        <w:rPr>
          <w:rFonts w:ascii="Arial" w:hAnsi="Arial" w:cs="Arial"/>
        </w:rPr>
        <w:t xml:space="preserve">Autor: </w:t>
      </w:r>
      <w:r w:rsidRPr="00F21CA2">
        <w:rPr>
          <w:rFonts w:ascii="Arial" w:hAnsi="Arial" w:cs="Arial"/>
          <w:b/>
          <w:bCs/>
        </w:rPr>
        <w:t>Héctor</w:t>
      </w:r>
      <w:r w:rsidRPr="00F21CA2">
        <w:rPr>
          <w:rFonts w:ascii="Arial" w:hAnsi="Arial" w:cs="Arial"/>
          <w:b/>
          <w:bCs/>
        </w:rPr>
        <w:t xml:space="preserve"> </w:t>
      </w:r>
      <w:r w:rsidRPr="00F21CA2">
        <w:rPr>
          <w:rFonts w:ascii="Arial" w:hAnsi="Arial" w:cs="Arial"/>
          <w:b/>
          <w:bCs/>
        </w:rPr>
        <w:t>González</w:t>
      </w:r>
    </w:p>
    <w:p w14:paraId="43395AF0" w14:textId="6B8EFD18" w:rsidR="00F21CA2" w:rsidRPr="00F21CA2" w:rsidRDefault="00F21CA2" w:rsidP="00F21CA2">
      <w:pPr>
        <w:jc w:val="both"/>
        <w:rPr>
          <w:rFonts w:ascii="Arial" w:hAnsi="Arial" w:cs="Arial"/>
        </w:rPr>
      </w:pPr>
    </w:p>
    <w:p w14:paraId="6891CEB9" w14:textId="77777777" w:rsidR="0023016F" w:rsidRPr="00F21CA2" w:rsidRDefault="0023016F" w:rsidP="00F21CA2">
      <w:pPr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Es importante recalcar que nosotros tenemos que hacer en un tema que sea de mayor importancia, así como hacer notar los temas a tratar y plantearlos de forma interesante. </w:t>
      </w:r>
    </w:p>
    <w:p w14:paraId="3CB480E0" w14:textId="77777777" w:rsidR="0023016F" w:rsidRPr="00F21CA2" w:rsidRDefault="0023016F" w:rsidP="00F21CA2">
      <w:pPr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Tenemos que </w:t>
      </w:r>
      <w:proofErr w:type="spellStart"/>
      <w:r w:rsidRPr="00F21CA2">
        <w:rPr>
          <w:rFonts w:ascii="Arial" w:hAnsi="Arial" w:cs="Arial"/>
        </w:rPr>
        <w:t>desarollar</w:t>
      </w:r>
      <w:proofErr w:type="spellEnd"/>
      <w:r w:rsidRPr="00F21CA2">
        <w:rPr>
          <w:rFonts w:ascii="Arial" w:hAnsi="Arial" w:cs="Arial"/>
        </w:rPr>
        <w:t xml:space="preserve"> el tema para ir analizando para estar tratando una lluvia de ideas.</w:t>
      </w:r>
    </w:p>
    <w:p w14:paraId="73C0D9E7" w14:textId="77777777" w:rsidR="0023016F" w:rsidRPr="00F21CA2" w:rsidRDefault="0023016F" w:rsidP="00F21CA2">
      <w:pPr>
        <w:jc w:val="both"/>
        <w:rPr>
          <w:rFonts w:ascii="Arial" w:hAnsi="Arial" w:cs="Arial"/>
        </w:rPr>
      </w:pPr>
      <w:proofErr w:type="spellStart"/>
      <w:r w:rsidRPr="00F21CA2">
        <w:rPr>
          <w:rFonts w:ascii="Arial" w:hAnsi="Arial" w:cs="Arial"/>
        </w:rPr>
        <w:t>Tambien</w:t>
      </w:r>
      <w:proofErr w:type="spellEnd"/>
      <w:r w:rsidRPr="00F21CA2">
        <w:rPr>
          <w:rFonts w:ascii="Arial" w:hAnsi="Arial" w:cs="Arial"/>
        </w:rPr>
        <w:t xml:space="preserve"> analizar que esta institución es una autoridad y un organismo de los </w:t>
      </w:r>
      <w:proofErr w:type="spellStart"/>
      <w:r w:rsidRPr="00F21CA2">
        <w:rPr>
          <w:rFonts w:ascii="Arial" w:hAnsi="Arial" w:cs="Arial"/>
        </w:rPr>
        <w:t>podere</w:t>
      </w:r>
      <w:proofErr w:type="spellEnd"/>
      <w:r w:rsidRPr="00F21CA2">
        <w:rPr>
          <w:rFonts w:ascii="Arial" w:hAnsi="Arial" w:cs="Arial"/>
        </w:rPr>
        <w:t xml:space="preserve">, </w:t>
      </w:r>
      <w:proofErr w:type="spellStart"/>
      <w:r w:rsidRPr="00F21CA2">
        <w:rPr>
          <w:rFonts w:ascii="Arial" w:hAnsi="Arial" w:cs="Arial"/>
        </w:rPr>
        <w:t>asi</w:t>
      </w:r>
      <w:proofErr w:type="spellEnd"/>
      <w:r w:rsidRPr="00F21CA2">
        <w:rPr>
          <w:rFonts w:ascii="Arial" w:hAnsi="Arial" w:cs="Arial"/>
        </w:rPr>
        <w:t xml:space="preserve"> como cualquier persona física, moral o el sindicato que reciba y ejerza recursos públicos o realice actos de autoridad del Estado o del Municipio.</w:t>
      </w:r>
    </w:p>
    <w:p w14:paraId="48746C87" w14:textId="77777777" w:rsidR="00942C36" w:rsidRPr="00F21CA2" w:rsidRDefault="0023016F" w:rsidP="00F21CA2">
      <w:pPr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El IACIP es el gerente de los derechos fundamentales de acceso a la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 y la protección de datos personales en el Estado de Guanajuato, también es un organismo autónomo, con personalidad jurídica </w:t>
      </w:r>
      <w:r w:rsidR="00942C36" w:rsidRPr="00F21CA2">
        <w:rPr>
          <w:rFonts w:ascii="Arial" w:hAnsi="Arial" w:cs="Arial"/>
        </w:rPr>
        <w:t>y patrimonio propio.</w:t>
      </w:r>
    </w:p>
    <w:p w14:paraId="35744964" w14:textId="77777777" w:rsidR="00942C36" w:rsidRPr="00F21CA2" w:rsidRDefault="00942C36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Garantiza la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, asegurándose de que los datos personales se protejan conforme la ley. Este podría implicar </w:t>
      </w:r>
      <w:proofErr w:type="spellStart"/>
      <w:r w:rsidRPr="00F21CA2">
        <w:rPr>
          <w:rFonts w:ascii="Arial" w:hAnsi="Arial" w:cs="Arial"/>
        </w:rPr>
        <w:t>anomizar</w:t>
      </w:r>
      <w:proofErr w:type="spellEnd"/>
      <w:r w:rsidRPr="00F21CA2">
        <w:rPr>
          <w:rFonts w:ascii="Arial" w:hAnsi="Arial" w:cs="Arial"/>
        </w:rPr>
        <w:t xml:space="preserve"> o limitar ciertos detalles antes de entregar la información.</w:t>
      </w:r>
    </w:p>
    <w:p w14:paraId="49304CB5" w14:textId="77777777" w:rsidR="00942C36" w:rsidRPr="00F21CA2" w:rsidRDefault="00942C36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La organización correspondiente debe proporcionar información, algunos contratos incluyen nombres, dirección o identificadores fiscales. </w:t>
      </w:r>
    </w:p>
    <w:p w14:paraId="5CFB8B40" w14:textId="77777777" w:rsidR="00942C36" w:rsidRPr="00F21CA2" w:rsidRDefault="00942C36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Toda </w:t>
      </w:r>
      <w:proofErr w:type="gramStart"/>
      <w:r w:rsidRPr="00F21CA2">
        <w:rPr>
          <w:rFonts w:ascii="Arial" w:hAnsi="Arial" w:cs="Arial"/>
        </w:rPr>
        <w:t>autoridad ,</w:t>
      </w:r>
      <w:proofErr w:type="gramEnd"/>
      <w:r w:rsidRPr="00F21CA2">
        <w:rPr>
          <w:rFonts w:ascii="Arial" w:hAnsi="Arial" w:cs="Arial"/>
        </w:rPr>
        <w:t xml:space="preserve"> identidad, órgano y organismo de los poderes Legislativo, Ejecutivo y judicial, organismos autónomos, partidos políticos, fideicomisos y fondos públicos. </w:t>
      </w:r>
    </w:p>
    <w:p w14:paraId="391A0BBD" w14:textId="77777777" w:rsidR="00942C36" w:rsidRPr="00F21CA2" w:rsidRDefault="00942C36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  <w:color w:val="1F497D" w:themeColor="text2"/>
        </w:rPr>
        <w:t xml:space="preserve">MISION </w:t>
      </w:r>
    </w:p>
    <w:p w14:paraId="3741244F" w14:textId="77777777" w:rsidR="00942C36" w:rsidRPr="00F21CA2" w:rsidRDefault="00942C36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Impulsar y garantizar en el estado de </w:t>
      </w:r>
      <w:proofErr w:type="spellStart"/>
      <w:r w:rsidRPr="00F21CA2">
        <w:rPr>
          <w:rFonts w:ascii="Arial" w:hAnsi="Arial" w:cs="Arial"/>
        </w:rPr>
        <w:t>guanaujato</w:t>
      </w:r>
      <w:proofErr w:type="spellEnd"/>
      <w:r w:rsidRPr="00F21CA2">
        <w:rPr>
          <w:rFonts w:ascii="Arial" w:hAnsi="Arial" w:cs="Arial"/>
        </w:rPr>
        <w:t xml:space="preserve"> el </w:t>
      </w:r>
      <w:proofErr w:type="spellStart"/>
      <w:r w:rsidRPr="00F21CA2">
        <w:rPr>
          <w:rFonts w:ascii="Arial" w:hAnsi="Arial" w:cs="Arial"/>
        </w:rPr>
        <w:t>ejercico</w:t>
      </w:r>
      <w:proofErr w:type="spellEnd"/>
      <w:r w:rsidRPr="00F21CA2">
        <w:rPr>
          <w:rFonts w:ascii="Arial" w:hAnsi="Arial" w:cs="Arial"/>
        </w:rPr>
        <w:t xml:space="preserve"> de los derechos humanos la evaluación y la exigencia, para garantizar una cultura de transparencia.</w:t>
      </w:r>
    </w:p>
    <w:p w14:paraId="591AAB96" w14:textId="77777777" w:rsidR="00942C36" w:rsidRPr="00F21CA2" w:rsidRDefault="00942C36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6F357EDE" w14:textId="77777777" w:rsidR="00942C36" w:rsidRPr="00F21CA2" w:rsidRDefault="00C139ED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 xml:space="preserve">LOGROS EN MATERIA </w:t>
      </w:r>
    </w:p>
    <w:p w14:paraId="725101A2" w14:textId="77777777" w:rsidR="00C139ED" w:rsidRPr="00F21CA2" w:rsidRDefault="00C139ED" w:rsidP="00F21CA2">
      <w:pPr>
        <w:pStyle w:val="Prrafodelista"/>
        <w:numPr>
          <w:ilvl w:val="0"/>
          <w:numId w:val="1"/>
        </w:num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 xml:space="preserve">Implementar del sistema de solicitud de acceso a la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 crear un sistema </w:t>
      </w:r>
      <w:proofErr w:type="spellStart"/>
      <w:r w:rsidRPr="00F21CA2">
        <w:rPr>
          <w:rFonts w:ascii="Arial" w:hAnsi="Arial" w:cs="Arial"/>
        </w:rPr>
        <w:t>electronicopara</w:t>
      </w:r>
      <w:proofErr w:type="spellEnd"/>
      <w:r w:rsidRPr="00F21CA2">
        <w:rPr>
          <w:rFonts w:ascii="Arial" w:hAnsi="Arial" w:cs="Arial"/>
        </w:rPr>
        <w:t xml:space="preserve"> recibir y procesar solicitudes de acceso de información. </w:t>
      </w:r>
    </w:p>
    <w:p w14:paraId="28B88EC7" w14:textId="77777777" w:rsidR="00C139ED" w:rsidRPr="00F21CA2" w:rsidRDefault="00C139ED" w:rsidP="00F21CA2">
      <w:pPr>
        <w:pStyle w:val="Prrafodelista"/>
        <w:numPr>
          <w:ilvl w:val="0"/>
          <w:numId w:val="1"/>
        </w:numPr>
        <w:tabs>
          <w:tab w:val="left" w:pos="1134"/>
        </w:tabs>
        <w:jc w:val="both"/>
        <w:rPr>
          <w:rFonts w:ascii="Arial" w:hAnsi="Arial" w:cs="Arial"/>
        </w:rPr>
      </w:pPr>
      <w:proofErr w:type="spellStart"/>
      <w:r w:rsidRPr="00F21CA2">
        <w:rPr>
          <w:rFonts w:ascii="Arial" w:hAnsi="Arial" w:cs="Arial"/>
        </w:rPr>
        <w:t>Publicacion</w:t>
      </w:r>
      <w:proofErr w:type="spellEnd"/>
      <w:r w:rsidRPr="00F21CA2">
        <w:rPr>
          <w:rFonts w:ascii="Arial" w:hAnsi="Arial" w:cs="Arial"/>
        </w:rPr>
        <w:t xml:space="preserve"> de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>.</w:t>
      </w:r>
    </w:p>
    <w:p w14:paraId="4B4A2390" w14:textId="77777777" w:rsidR="00C139ED" w:rsidRPr="00F21CA2" w:rsidRDefault="00C139ED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 xml:space="preserve">ALUGUNAS RECOMENDACIONES </w:t>
      </w:r>
    </w:p>
    <w:p w14:paraId="764318C9" w14:textId="77777777" w:rsidR="00C139ED" w:rsidRPr="00F21CA2" w:rsidRDefault="00C139ED" w:rsidP="00F21CA2">
      <w:pPr>
        <w:pStyle w:val="Prrafodelista"/>
        <w:numPr>
          <w:ilvl w:val="0"/>
          <w:numId w:val="2"/>
        </w:num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proofErr w:type="spellStart"/>
      <w:r w:rsidRPr="00F21CA2">
        <w:rPr>
          <w:rFonts w:ascii="Arial" w:hAnsi="Arial" w:cs="Arial"/>
        </w:rPr>
        <w:t>Informacion</w:t>
      </w:r>
      <w:proofErr w:type="spellEnd"/>
      <w:r w:rsidRPr="00F21CA2">
        <w:rPr>
          <w:rFonts w:ascii="Arial" w:hAnsi="Arial" w:cs="Arial"/>
        </w:rPr>
        <w:t xml:space="preserve"> oportuna y precisa: El IAIPGTO proporcionar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 y oportuna sobre las </w:t>
      </w:r>
      <w:proofErr w:type="spellStart"/>
      <w:r w:rsidRPr="00F21CA2">
        <w:rPr>
          <w:rFonts w:ascii="Arial" w:hAnsi="Arial" w:cs="Arial"/>
        </w:rPr>
        <w:t>deciciones</w:t>
      </w:r>
      <w:proofErr w:type="spellEnd"/>
      <w:r w:rsidRPr="00F21CA2">
        <w:rPr>
          <w:rFonts w:ascii="Arial" w:hAnsi="Arial" w:cs="Arial"/>
        </w:rPr>
        <w:t xml:space="preserve"> </w:t>
      </w:r>
    </w:p>
    <w:p w14:paraId="071AD02F" w14:textId="77777777" w:rsidR="00C139ED" w:rsidRPr="00F21CA2" w:rsidRDefault="00C139ED" w:rsidP="00F21CA2">
      <w:pPr>
        <w:pStyle w:val="Prrafodelista"/>
        <w:numPr>
          <w:ilvl w:val="0"/>
          <w:numId w:val="2"/>
        </w:num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</w:rPr>
        <w:t xml:space="preserve">Transparencia en gestión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 de las </w:t>
      </w:r>
      <w:proofErr w:type="spellStart"/>
      <w:r w:rsidRPr="00F21CA2">
        <w:rPr>
          <w:rFonts w:ascii="Arial" w:hAnsi="Arial" w:cs="Arial"/>
        </w:rPr>
        <w:t>desiciones</w:t>
      </w:r>
      <w:proofErr w:type="spellEnd"/>
      <w:r w:rsidRPr="00F21CA2">
        <w:rPr>
          <w:rFonts w:ascii="Arial" w:hAnsi="Arial" w:cs="Arial"/>
        </w:rPr>
        <w:t xml:space="preserve"> de los ciudadanos.</w:t>
      </w:r>
    </w:p>
    <w:p w14:paraId="2AB1439D" w14:textId="77777777" w:rsidR="00C139ED" w:rsidRPr="00F21CA2" w:rsidRDefault="00C139ED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 xml:space="preserve">EDUCACION Y CAPACITACION </w:t>
      </w:r>
    </w:p>
    <w:p w14:paraId="6D7B9BC6" w14:textId="77777777" w:rsidR="00020DCB" w:rsidRPr="00F21CA2" w:rsidRDefault="00C139ED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lastRenderedPageBreak/>
        <w:t xml:space="preserve">Ofrece educación y capacitación en el acceso de la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, lo que permite a los ciudadanos entender mejor como acceder a la información </w:t>
      </w:r>
      <w:proofErr w:type="spellStart"/>
      <w:r w:rsidRPr="00F21CA2">
        <w:rPr>
          <w:rFonts w:ascii="Arial" w:hAnsi="Arial" w:cs="Arial"/>
        </w:rPr>
        <w:t>publica</w:t>
      </w:r>
      <w:proofErr w:type="spellEnd"/>
      <w:r w:rsidRPr="00F21CA2">
        <w:rPr>
          <w:rFonts w:ascii="Arial" w:hAnsi="Arial" w:cs="Arial"/>
        </w:rPr>
        <w:t xml:space="preserve"> permite </w:t>
      </w:r>
      <w:r w:rsidR="00B475C5" w:rsidRPr="00F21CA2">
        <w:rPr>
          <w:rFonts w:ascii="Arial" w:hAnsi="Arial" w:cs="Arial"/>
        </w:rPr>
        <w:t xml:space="preserve">a los </w:t>
      </w:r>
      <w:proofErr w:type="spellStart"/>
      <w:r w:rsidR="00B475C5" w:rsidRPr="00F21CA2">
        <w:rPr>
          <w:rFonts w:ascii="Arial" w:hAnsi="Arial" w:cs="Arial"/>
        </w:rPr>
        <w:t>cidudanos</w:t>
      </w:r>
      <w:proofErr w:type="spellEnd"/>
      <w:r w:rsidR="00B475C5" w:rsidRPr="00F21CA2">
        <w:rPr>
          <w:rFonts w:ascii="Arial" w:hAnsi="Arial" w:cs="Arial"/>
        </w:rPr>
        <w:t xml:space="preserve"> desarrollar habilidades para analizar y evaluar decisiones informadas.</w:t>
      </w:r>
    </w:p>
    <w:p w14:paraId="3A13EE8B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RECOMENDACIONES PARA EL GOBIERNO DEL ESTADO DE GUANAJUATO</w:t>
      </w:r>
    </w:p>
    <w:p w14:paraId="29B32ED4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Implementar políticas de transparencia y acceso a la información: Establecer políticas claras y precisas para garantizar la transparencia y el acceso a la información pública.</w:t>
      </w:r>
    </w:p>
    <w:p w14:paraId="5A1836CF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Mejorar la publicación de información: Publicar información relevante y oportuna sobre la gestión pública, incluyendo información financiera, de personal y de contrataciones.</w:t>
      </w:r>
    </w:p>
    <w:p w14:paraId="6DFB7B16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3. Fortalecer la rendición de cuentas: Establecer mecanismos de rendición de cuentas efectivos para garantizar que los servidores públicos sean responsables de sus acciones.</w:t>
      </w:r>
    </w:p>
    <w:p w14:paraId="63ADFDAA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4. Promover la participación ciudadana: Fomentar la participación ciudadana en la toma de decisiones públicas y en la gestión pública.</w:t>
      </w:r>
    </w:p>
    <w:p w14:paraId="24E95A92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27445786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Recomendaciones para la sociedad civil</w:t>
      </w:r>
    </w:p>
    <w:p w14:paraId="03DE8A46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Participar activamente en la promoción de la transparencia: Participar en campañas y actividades para promover la transparencia y el acceso a la información pública.</w:t>
      </w:r>
    </w:p>
    <w:p w14:paraId="0B6B43B3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Utilizar los mecanismos de acceso a la información: Utilizar los mecanismos de acceso a la información pública para obtener información relevante y oportuna.</w:t>
      </w:r>
    </w:p>
    <w:p w14:paraId="2D10DA35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3. Exigir rendición de cuentas: Exigir rendición de cuentas a los servidores públicos y a las instituciones públicas.</w:t>
      </w:r>
    </w:p>
    <w:p w14:paraId="7A8FF539" w14:textId="77777777" w:rsidR="00B475C5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4. Colaborar con el IAIPGTO: Colaborar con el IAIPGTO para promover la transparencia y el acceso a la información pública.</w:t>
      </w:r>
    </w:p>
    <w:p w14:paraId="7FBF80F7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70C38E45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Logros en materia de transparencia y acceso a la información</w:t>
      </w:r>
    </w:p>
    <w:p w14:paraId="1935E7BA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Implementación del Sistema de Solicitudes de Acceso a la Información Pública: El IAIPGTO creó un sistema electrónico para recibir y procesar solicitudes de acceso a la información pública.</w:t>
      </w:r>
    </w:p>
    <w:p w14:paraId="44078B62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Publicación de la información pública en línea: El IAIPGTO publica información pública en su sitio web, lo que facilita el acceso a la información para los ciudadanos.</w:t>
      </w:r>
    </w:p>
    <w:p w14:paraId="707B0D02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3. Creación del Portal de Transparencia: El IAIPGTO creó un portal de transparencia que proporciona información sobre la gestión pública, incluyendo información financiera, de personal y de contrataciones.</w:t>
      </w:r>
    </w:p>
    <w:p w14:paraId="3BAF00D6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43BFD601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3181AA0C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5665655A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</w:p>
    <w:p w14:paraId="0AEE031E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Logros en materia de capacitación y sensibilización</w:t>
      </w:r>
    </w:p>
    <w:p w14:paraId="67FA4C12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Capacitación a servidores públicos: El IAIPGTO ha capacitado a miles de servidores públicos en materia de acceso a la información pública y transparencia.</w:t>
      </w:r>
    </w:p>
    <w:p w14:paraId="084534E5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Sensibilización a la ciudadanía: El IAIPGTO ha realizado campañas de sensibilización para informar a la ciudadanía sobre su derecho de acceso a la información pública.</w:t>
      </w:r>
    </w:p>
    <w:p w14:paraId="620AED50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3. Creación de materiales educativos: El IAIPGTO ha creado materiales educativos, como guías y manuales, para ayudar a los servidores públicos y a la ciudadanía a entender mejor el derecho de acceso a la información pública.</w:t>
      </w:r>
    </w:p>
    <w:p w14:paraId="583EF1C6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</w:p>
    <w:p w14:paraId="01CE1F5C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Logros en materia de resolución de controversias</w:t>
      </w:r>
    </w:p>
    <w:p w14:paraId="5B95CB83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Resolución de recursos de revisión: El IAIPGTO ha resuelto cientos de recursos de revisión presentados por ciudadanos que no estaban satisfechos con la respuesta a su solicitud de acceso a la información pública.</w:t>
      </w:r>
    </w:p>
    <w:p w14:paraId="1CAD3830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Mediación y conciliación: El IAIPGTO ha utilizado la mediación y la conciliación para resolver controversias entre ciudadanos y servidores públicos.</w:t>
      </w:r>
    </w:p>
    <w:p w14:paraId="3C513A84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3. Creación de un sistema de quejas y denuncias: El IAIPGTO ha creado un sistema de quejas y denuncias para que los ciudadanos puedan reportar irregularidades o incumplimientos de la ley de acceso a la información pública.</w:t>
      </w:r>
    </w:p>
    <w:p w14:paraId="133EB2D2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675EE619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3EAE35AF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3C4E43EE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Si no existiera el Instituto de Acceso a la Información Pública para el Estado de Guanajuato (IAIPGTO), se podrían presentar varios escenarios negativos:</w:t>
      </w:r>
    </w:p>
    <w:p w14:paraId="2190D4A2" w14:textId="77777777" w:rsidR="00020DCB" w:rsidRPr="00F21CA2" w:rsidRDefault="00020DCB" w:rsidP="00F21CA2">
      <w:pPr>
        <w:tabs>
          <w:tab w:val="left" w:pos="3165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ab/>
      </w:r>
    </w:p>
    <w:p w14:paraId="4C3A1627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  <w:color w:val="1F497D" w:themeColor="text2"/>
        </w:rPr>
        <w:t>Falta de transparencia y rendición de cuentas</w:t>
      </w:r>
    </w:p>
    <w:p w14:paraId="6B70C50F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Limitaciones en el acceso a la información pública: Sin el IAIPGTO, los ciudadanos podrían enfrentar dificultades para acceder a la información pública, lo que limitaría su capacidad para tomar decisiones informadas.</w:t>
      </w:r>
    </w:p>
    <w:p w14:paraId="6044CA0E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lastRenderedPageBreak/>
        <w:t>2. Corrupción y opacidad: La falta de transparencia y rendición de cuentas podría facilitar la corrupción y la opacidad en la gestión pública.</w:t>
      </w:r>
    </w:p>
    <w:p w14:paraId="4A0873CC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414F247D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Impacto en la democracia y la participación ciudadana</w:t>
      </w:r>
    </w:p>
    <w:p w14:paraId="14379EE9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Limitaciones en la participación ciudadana: Sin el IAIPGTO, los ciudadanos podrían tener menos oportunidades para participar en la toma de decisiones públicas y para influir en la política pública.</w:t>
      </w:r>
    </w:p>
    <w:p w14:paraId="34D81FC5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Erosión de la confianza en las instituciones: La falta de transparencia y rendición de cuentas podría erosionar la confianza de los ciudadanos en las instituciones públicas.</w:t>
      </w:r>
    </w:p>
    <w:p w14:paraId="62479B36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701A4DDE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Impacto en la economía y el desarrollo</w:t>
      </w:r>
    </w:p>
    <w:p w14:paraId="3C2A2307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Limitaciones en la inversión y el crecimiento económico: La falta de transparencia y rendición de cuentas podría disuadir a los inversores y limitar el crecimiento económico en el estado de Guanajuato.</w:t>
      </w:r>
    </w:p>
    <w:p w14:paraId="378E943E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Ineficiencia en la gestión de recursos públicos: La falta de transparencia y rendición de cuentas podría llevar a una ineficiencia en la gestión de recursos públicos y a una mala asignación de recursos.</w:t>
      </w:r>
    </w:p>
    <w:p w14:paraId="73D9DA0C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</w:p>
    <w:p w14:paraId="078F0229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  <w:color w:val="1F497D" w:themeColor="text2"/>
        </w:rPr>
      </w:pPr>
      <w:r w:rsidRPr="00F21CA2">
        <w:rPr>
          <w:rFonts w:ascii="Arial" w:hAnsi="Arial" w:cs="Arial"/>
          <w:color w:val="1F497D" w:themeColor="text2"/>
        </w:rPr>
        <w:t>Impacto en la sociedad y la cultura</w:t>
      </w:r>
    </w:p>
    <w:p w14:paraId="1452A5DB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1. Limitaciones en la libertad de expresión y de información: La falta de transparencia y rendición de cuentas podría limitar la libertad de expresión y de información en el estado de Guanajuato.</w:t>
      </w:r>
    </w:p>
    <w:p w14:paraId="41B1768F" w14:textId="77777777" w:rsidR="00020DCB" w:rsidRPr="00F21CA2" w:rsidRDefault="00020DCB" w:rsidP="00F21CA2">
      <w:pPr>
        <w:tabs>
          <w:tab w:val="left" w:pos="1134"/>
        </w:tabs>
        <w:jc w:val="both"/>
        <w:rPr>
          <w:rFonts w:ascii="Arial" w:hAnsi="Arial" w:cs="Arial"/>
        </w:rPr>
      </w:pPr>
      <w:r w:rsidRPr="00F21CA2">
        <w:rPr>
          <w:rFonts w:ascii="Arial" w:hAnsi="Arial" w:cs="Arial"/>
        </w:rPr>
        <w:t>2. Erosión de los valores democráticos: La falta de transparencia y rendición de cuentas podría erosionar los valores democráticos y la cultura de la transparencia y la rendición de cuentas en la sociedad guanajuatense.</w:t>
      </w:r>
    </w:p>
    <w:sectPr w:rsidR="00020DCB" w:rsidRPr="00F21CA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F4C6AE6"/>
    <w:multiLevelType w:val="hybridMultilevel"/>
    <w:tmpl w:val="C778F7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C474D6"/>
    <w:multiLevelType w:val="hybridMultilevel"/>
    <w:tmpl w:val="42B6A5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1549096">
    <w:abstractNumId w:val="1"/>
  </w:num>
  <w:num w:numId="2" w16cid:durableId="1684475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95D"/>
    <w:rsid w:val="00020DCB"/>
    <w:rsid w:val="00064861"/>
    <w:rsid w:val="0023016F"/>
    <w:rsid w:val="00942C36"/>
    <w:rsid w:val="00A5595D"/>
    <w:rsid w:val="00B475C5"/>
    <w:rsid w:val="00C139ED"/>
    <w:rsid w:val="00F21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5CC333"/>
  <w15:docId w15:val="{2E5ADD03-E0C9-47C0-89EE-7679907EA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21CA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39ED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semiHidden/>
    <w:rsid w:val="00F21CA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18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1116</Words>
  <Characters>6144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7246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Hector Gonzale Ramirez</dc:creator>
  <cp:lastModifiedBy>Paola Lopez</cp:lastModifiedBy>
  <cp:revision>2</cp:revision>
  <cp:lastPrinted>2024-12-05T16:53:00Z</cp:lastPrinted>
  <dcterms:created xsi:type="dcterms:W3CDTF">2024-12-05T16:53:00Z</dcterms:created>
  <dcterms:modified xsi:type="dcterms:W3CDTF">2024-12-05T16:53:00Z</dcterms:modified>
</cp:coreProperties>
</file>